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0BF2F">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关于举办贵州铜仁数据职业学院</w:t>
      </w:r>
    </w:p>
    <w:p w14:paraId="1CDC671F">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w:t>
      </w:r>
      <w:r>
        <w:rPr>
          <w:rFonts w:hint="eastAsia" w:ascii="方正小标宋简体" w:hAnsi="方正小标宋简体" w:eastAsia="方正小标宋简体" w:cs="方正小标宋简体"/>
          <w:sz w:val="44"/>
          <w:szCs w:val="44"/>
          <w:lang w:val="en-US" w:eastAsia="zh-CN"/>
        </w:rPr>
        <w:t>四</w:t>
      </w:r>
      <w:r>
        <w:rPr>
          <w:rFonts w:hint="eastAsia" w:ascii="方正小标宋简体" w:hAnsi="方正小标宋简体" w:eastAsia="方正小标宋简体" w:cs="方正小标宋简体"/>
          <w:sz w:val="44"/>
          <w:szCs w:val="44"/>
        </w:rPr>
        <w:t>届职业技能大赛多轴无人机竞速赛的通知</w:t>
      </w:r>
    </w:p>
    <w:p w14:paraId="6689DE65">
      <w:pPr>
        <w:keepNext w:val="0"/>
        <w:keepLines w:val="0"/>
        <w:pageBreakBefore w:val="0"/>
        <w:widowControl w:val="0"/>
        <w:kinsoku/>
        <w:wordWrap/>
        <w:overflowPunct/>
        <w:topLinePunct w:val="0"/>
        <w:autoSpaceDE/>
        <w:autoSpaceDN/>
        <w:bidi w:val="0"/>
        <w:adjustRightInd/>
        <w:snapToGrid/>
        <w:spacing w:before="0"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各</w:t>
      </w:r>
      <w:r>
        <w:rPr>
          <w:rFonts w:hint="eastAsia" w:ascii="方正仿宋_GB2312" w:hAnsi="方正仿宋_GB2312" w:eastAsia="方正仿宋_GB2312" w:cs="方正仿宋_GB2312"/>
          <w:sz w:val="32"/>
          <w:szCs w:val="32"/>
          <w:lang w:val="en-US" w:eastAsia="zh-CN"/>
        </w:rPr>
        <w:t>专业</w:t>
      </w:r>
      <w:r>
        <w:rPr>
          <w:rFonts w:hint="eastAsia" w:ascii="方正仿宋_GB2312" w:hAnsi="方正仿宋_GB2312" w:eastAsia="方正仿宋_GB2312" w:cs="方正仿宋_GB2312"/>
          <w:sz w:val="32"/>
          <w:szCs w:val="32"/>
        </w:rPr>
        <w:t>、全体在校学生：</w:t>
      </w:r>
    </w:p>
    <w:p w14:paraId="5D3F9D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为深入贯彻落实《国家职业教育改革实施方案》精神，推进低空经济与无人机技能人才培养，并结合我校职业教育活动周工作部署，经研究决定，特组织开展贵州铜仁数据职业学院第四届职业技能竞赛无人机应用技能赛。现将有关事项通知如下：</w:t>
      </w:r>
    </w:p>
    <w:p w14:paraId="0E48F3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一、竞赛背景与目标</w:t>
      </w:r>
    </w:p>
    <w:p w14:paraId="4FA75E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随着低空经济与无人机技术快速发展，无人机应用已成为数字技术、智能制造领域重要技能方向。为提升学院学生无人机操控、应用与竞赛实战能力，强化实践技能与创新意识，促进校际、校企技能交流，现举办无人机应用技能赛。本次竞赛以实操竞技形式，检验与提升学生无人机起降、航线飞行、障碍穿越、任务执行等核心能力，推动无人机技能人才培养与产业需求紧密衔接。</w:t>
      </w:r>
      <w:r>
        <w:rPr>
          <w:rFonts w:hint="eastAsia" w:ascii="方正仿宋_GB2312" w:hAnsi="方正仿宋_GB2312" w:eastAsia="方正仿宋_GB2312" w:cs="方正仿宋_GB2312"/>
          <w:sz w:val="32"/>
          <w:szCs w:val="32"/>
          <w:lang w:val="en-US" w:eastAsia="zh-CN"/>
        </w:rPr>
        <w:t xml:space="preserve">           </w:t>
      </w:r>
    </w:p>
    <w:p w14:paraId="44A6D3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二、组织架构</w:t>
      </w:r>
    </w:p>
    <w:p w14:paraId="5EBFC7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主办单位：贵州铜仁数据职业学院</w:t>
      </w:r>
    </w:p>
    <w:p w14:paraId="602514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 承办单位：数字技术学院</w:t>
      </w:r>
    </w:p>
    <w:p w14:paraId="1DD1D4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 竞赛小组</w:t>
      </w:r>
    </w:p>
    <w:p w14:paraId="3087B3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组    长：魏斯民</w:t>
      </w:r>
    </w:p>
    <w:p w14:paraId="590E65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成    员：</w:t>
      </w:r>
      <w:r>
        <w:rPr>
          <w:rFonts w:hint="eastAsia" w:ascii="方正仿宋_GB2312" w:hAnsi="方正仿宋_GB2312" w:eastAsia="方正仿宋_GB2312" w:cs="方正仿宋_GB2312"/>
          <w:sz w:val="32"/>
          <w:szCs w:val="32"/>
          <w:lang w:val="en-US" w:eastAsia="zh-CN"/>
        </w:rPr>
        <w:t>覃</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兵</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杨明松</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李增辉   黄元军</w:t>
      </w:r>
      <w:r>
        <w:rPr>
          <w:rFonts w:hint="eastAsia" w:ascii="方正仿宋_GB2312" w:hAnsi="方正仿宋_GB2312" w:eastAsia="方正仿宋_GB2312" w:cs="方正仿宋_GB2312"/>
          <w:sz w:val="32"/>
          <w:szCs w:val="32"/>
        </w:rPr>
        <w:t xml:space="preserve"> </w:t>
      </w:r>
    </w:p>
    <w:p w14:paraId="682A74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 xml:space="preserve">保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 xml:space="preserve">障：冉智精  </w:t>
      </w:r>
      <w:r>
        <w:rPr>
          <w:rFonts w:hint="eastAsia" w:ascii="方正仿宋_GB2312" w:hAnsi="方正仿宋_GB2312" w:eastAsia="方正仿宋_GB2312" w:cs="方正仿宋_GB2312"/>
          <w:sz w:val="32"/>
          <w:szCs w:val="32"/>
          <w:lang w:val="en-US" w:eastAsia="zh-CN"/>
        </w:rPr>
        <w:t xml:space="preserve"> 田  伟</w:t>
      </w:r>
    </w:p>
    <w:p w14:paraId="20FFEA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三、竞赛时间与地点</w:t>
      </w:r>
    </w:p>
    <w:p w14:paraId="70C017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报名时间：</w:t>
      </w:r>
      <w:r>
        <w:rPr>
          <w:rFonts w:hint="eastAsia" w:ascii="方正仿宋_GB2312" w:hAnsi="方正仿宋_GB2312" w:eastAsia="方正仿宋_GB2312" w:cs="方正仿宋_GB2312"/>
          <w:sz w:val="32"/>
          <w:szCs w:val="32"/>
          <w:lang w:val="en-US" w:eastAsia="zh-CN"/>
        </w:rPr>
        <w:t>自通知下发之日起，截止时间</w:t>
      </w:r>
      <w:r>
        <w:rPr>
          <w:rFonts w:hint="eastAsia" w:ascii="方正仿宋_GB2312" w:hAnsi="方正仿宋_GB2312" w:eastAsia="方正仿宋_GB2312" w:cs="方正仿宋_GB2312"/>
          <w:sz w:val="32"/>
          <w:szCs w:val="32"/>
        </w:rPr>
        <w:t>202</w:t>
      </w:r>
      <w:r>
        <w:rPr>
          <w:rFonts w:hint="eastAsia" w:ascii="方正仿宋_GB2312" w:hAnsi="方正仿宋_GB2312" w:eastAsia="方正仿宋_GB2312" w:cs="方正仿宋_GB2312"/>
          <w:sz w:val="32"/>
          <w:szCs w:val="32"/>
          <w:lang w:val="en-US" w:eastAsia="zh-CN"/>
        </w:rPr>
        <w:t>6</w:t>
      </w:r>
      <w:r>
        <w:rPr>
          <w:rFonts w:hint="eastAsia" w:ascii="方正仿宋_GB2312" w:hAnsi="方正仿宋_GB2312" w:eastAsia="方正仿宋_GB2312" w:cs="方正仿宋_GB2312"/>
          <w:sz w:val="32"/>
          <w:szCs w:val="32"/>
        </w:rPr>
        <w:t>年5月1</w:t>
      </w: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日</w:t>
      </w:r>
      <w:r>
        <w:rPr>
          <w:rFonts w:hint="eastAsia" w:ascii="方正仿宋_GB2312" w:hAnsi="方正仿宋_GB2312" w:eastAsia="方正仿宋_GB2312" w:cs="方正仿宋_GB2312"/>
          <w:sz w:val="32"/>
          <w:szCs w:val="32"/>
          <w:lang w:val="en-US" w:eastAsia="zh-CN"/>
        </w:rPr>
        <w:t>21：00点</w:t>
      </w:r>
      <w:r>
        <w:rPr>
          <w:rFonts w:hint="eastAsia" w:ascii="方正仿宋_GB2312" w:hAnsi="方正仿宋_GB2312" w:eastAsia="方正仿宋_GB2312" w:cs="方正仿宋_GB2312"/>
          <w:sz w:val="32"/>
          <w:szCs w:val="32"/>
        </w:rPr>
        <w:t>。</w:t>
      </w:r>
    </w:p>
    <w:p w14:paraId="656394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 比赛时间：202</w:t>
      </w:r>
      <w:r>
        <w:rPr>
          <w:rFonts w:hint="eastAsia" w:ascii="方正仿宋_GB2312" w:hAnsi="方正仿宋_GB2312" w:eastAsia="方正仿宋_GB2312" w:cs="方正仿宋_GB2312"/>
          <w:sz w:val="32"/>
          <w:szCs w:val="32"/>
          <w:lang w:val="en-US" w:eastAsia="zh-CN"/>
        </w:rPr>
        <w:t>6</w:t>
      </w:r>
      <w:r>
        <w:rPr>
          <w:rFonts w:hint="eastAsia" w:ascii="方正仿宋_GB2312" w:hAnsi="方正仿宋_GB2312" w:eastAsia="方正仿宋_GB2312" w:cs="方正仿宋_GB2312"/>
          <w:sz w:val="32"/>
          <w:szCs w:val="32"/>
        </w:rPr>
        <w:t>年5月</w:t>
      </w:r>
      <w:r>
        <w:rPr>
          <w:rFonts w:hint="eastAsia" w:ascii="方正仿宋_GB2312" w:hAnsi="方正仿宋_GB2312" w:eastAsia="方正仿宋_GB2312" w:cs="方正仿宋_GB2312"/>
          <w:sz w:val="32"/>
          <w:szCs w:val="32"/>
          <w:lang w:val="en-US" w:eastAsia="zh-CN"/>
        </w:rPr>
        <w:t>14</w:t>
      </w:r>
      <w:r>
        <w:rPr>
          <w:rFonts w:hint="eastAsia" w:ascii="方正仿宋_GB2312" w:hAnsi="方正仿宋_GB2312" w:eastAsia="方正仿宋_GB2312" w:cs="方正仿宋_GB2312"/>
          <w:sz w:val="32"/>
          <w:szCs w:val="32"/>
        </w:rPr>
        <w:t>日14:00—1</w:t>
      </w:r>
      <w:r>
        <w:rPr>
          <w:rFonts w:hint="eastAsia" w:ascii="方正仿宋_GB2312" w:hAnsi="方正仿宋_GB2312" w:eastAsia="方正仿宋_GB2312" w:cs="方正仿宋_GB2312"/>
          <w:sz w:val="32"/>
          <w:szCs w:val="32"/>
          <w:lang w:val="en-US" w:eastAsia="zh-CN"/>
        </w:rPr>
        <w:t>7</w:t>
      </w:r>
      <w:r>
        <w:rPr>
          <w:rFonts w:hint="eastAsia" w:ascii="方正仿宋_GB2312" w:hAnsi="方正仿宋_GB2312" w:eastAsia="方正仿宋_GB2312" w:cs="方正仿宋_GB2312"/>
          <w:sz w:val="32"/>
          <w:szCs w:val="32"/>
        </w:rPr>
        <w:t>:00。</w:t>
      </w:r>
    </w:p>
    <w:p w14:paraId="022939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3. 比赛地点：</w:t>
      </w:r>
      <w:r>
        <w:rPr>
          <w:rFonts w:hint="eastAsia" w:ascii="方正仿宋_GB2312" w:hAnsi="方正仿宋_GB2312" w:eastAsia="方正仿宋_GB2312" w:cs="方正仿宋_GB2312"/>
          <w:sz w:val="32"/>
          <w:szCs w:val="32"/>
          <w:lang w:val="en-US" w:eastAsia="zh-CN"/>
        </w:rPr>
        <w:t>足球场</w:t>
      </w:r>
    </w:p>
    <w:p w14:paraId="0C2728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四、参赛对象与条件</w:t>
      </w:r>
    </w:p>
    <w:p w14:paraId="17E2A2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参赛对象：面向我校全体在校学生，具备基础无人机安全知识与操控兴趣，有一定实操能力者优先，鼓励跨专业参赛。</w:t>
      </w:r>
    </w:p>
    <w:p w14:paraId="5C55C5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 组队要求：本次竞赛为单人赛，每个学生需有</w:t>
      </w:r>
      <w:r>
        <w:rPr>
          <w:rFonts w:hint="eastAsia" w:ascii="方正仿宋_GB2312" w:hAnsi="方正仿宋_GB2312" w:eastAsia="方正仿宋_GB2312" w:cs="方正仿宋_GB2312"/>
          <w:sz w:val="32"/>
          <w:szCs w:val="32"/>
          <w:lang w:val="en-US" w:eastAsia="zh-CN"/>
        </w:rPr>
        <w:t>1</w:t>
      </w:r>
      <w:r>
        <w:rPr>
          <w:rFonts w:hint="eastAsia" w:ascii="方正仿宋_GB2312" w:hAnsi="方正仿宋_GB2312" w:eastAsia="方正仿宋_GB2312" w:cs="方正仿宋_GB2312"/>
          <w:sz w:val="32"/>
          <w:szCs w:val="32"/>
        </w:rPr>
        <w:t>名指导教师指，无指导教师则由数字技术学院指派。</w:t>
      </w:r>
    </w:p>
    <w:p w14:paraId="4FCD98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五、竞赛内容</w:t>
      </w:r>
    </w:p>
    <w:p w14:paraId="381EC2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rPr>
      </w:pPr>
      <w:r>
        <w:rPr>
          <w:rFonts w:hint="eastAsia" w:ascii="方正仿宋_GB2312" w:hAnsi="方正仿宋_GB2312" w:eastAsia="方正仿宋_GB2312" w:cs="方正仿宋_GB2312"/>
          <w:snapToGrid/>
          <w:color w:val="1F2329"/>
          <w:sz w:val="32"/>
          <w:szCs w:val="32"/>
          <w:lang w:eastAsia="zh-CN"/>
        </w:rPr>
        <w:t>本次竞赛为4轴无人机竞速赛，选手以第一视角、使用无线电遥控设备操纵无人机，按照赛道图示规定路线依次穿越赛道障碍完成竞赛飞行，以完成全程赛道的总用时评定最终成绩。赛道设置复合型障碍，模拟国防侦察、物资投送等实战场景，包含屏风避障、定点识别、图像传送等专项任务，重点考查选手精准操控能力、临场快速反应能力与团队协作配合能力。</w:t>
      </w:r>
      <w:r>
        <w:rPr>
          <w:rFonts w:hint="eastAsia" w:ascii="方正仿宋_GB2312" w:hAnsi="方正仿宋_GB2312" w:eastAsia="方正仿宋_GB2312" w:cs="方正仿宋_GB2312"/>
          <w:snapToGrid/>
          <w:color w:val="1F2329"/>
          <w:sz w:val="32"/>
          <w:szCs w:val="32"/>
          <w:lang w:val="en-US" w:eastAsia="zh-CN"/>
        </w:rPr>
        <w:t>详见附件3《贵州铜仁数据职业学院第四届职业技能大赛多轴无人机竞速赛办法与规则》。</w:t>
      </w:r>
    </w:p>
    <w:p w14:paraId="77DA6D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六、竞赛注意事项</w:t>
      </w:r>
    </w:p>
    <w:p w14:paraId="72307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w:t>
      </w:r>
      <w:r>
        <w:rPr>
          <w:rFonts w:hint="eastAsia" w:ascii="方正仿宋_GB2312" w:hAnsi="方正仿宋_GB2312" w:eastAsia="方正仿宋_GB2312" w:cs="方正仿宋_GB2312"/>
          <w:sz w:val="32"/>
          <w:szCs w:val="32"/>
        </w:rPr>
        <w:t>赛选手必须严格遵守赛场纪律，严禁违规操作、作弊等行为。</w:t>
      </w:r>
    </w:p>
    <w:p w14:paraId="6D7B6F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竞赛所用无人机、电池、遥控器等器材，按组委会要求统一使用或报备。</w:t>
      </w:r>
    </w:p>
    <w:p w14:paraId="4402EA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竞赛全程服从裁判与工作人员指挥，注意飞行安全，不得擅自起飞。</w:t>
      </w:r>
    </w:p>
    <w:p w14:paraId="7C5224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竞赛结束后按要求整理器材、恢复场地。</w:t>
      </w:r>
    </w:p>
    <w:p w14:paraId="5D5E74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rPr>
        <w:t>详细评分标准与安全细则详见附件</w:t>
      </w: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w:t>
      </w:r>
    </w:p>
    <w:p w14:paraId="117839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w:t>
      </w:r>
      <w:r>
        <w:rPr>
          <w:rFonts w:hint="eastAsia" w:ascii="黑体" w:hAnsi="黑体" w:eastAsia="黑体" w:cs="黑体"/>
          <w:sz w:val="32"/>
          <w:szCs w:val="32"/>
          <w:lang w:eastAsia="zh-CN"/>
        </w:rPr>
        <w:t>、</w:t>
      </w:r>
      <w:r>
        <w:rPr>
          <w:rFonts w:hint="eastAsia" w:ascii="黑体" w:hAnsi="黑体" w:eastAsia="黑体" w:cs="黑体"/>
          <w:sz w:val="32"/>
          <w:szCs w:val="32"/>
        </w:rPr>
        <w:t>奖项设置</w:t>
      </w:r>
    </w:p>
    <w:p w14:paraId="142877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本</w:t>
      </w:r>
      <w:r>
        <w:rPr>
          <w:rFonts w:hint="eastAsia" w:ascii="方正仿宋_GB2312" w:hAnsi="方正仿宋_GB2312" w:eastAsia="方正仿宋_GB2312" w:cs="方正仿宋_GB2312"/>
          <w:sz w:val="32"/>
          <w:szCs w:val="32"/>
        </w:rPr>
        <w:t>赛项</w:t>
      </w:r>
      <w:r>
        <w:rPr>
          <w:rFonts w:hint="eastAsia" w:ascii="方正仿宋_GB2312" w:hAnsi="方正仿宋_GB2312" w:eastAsia="方正仿宋_GB2312" w:cs="方正仿宋_GB2312"/>
          <w:sz w:val="32"/>
          <w:szCs w:val="32"/>
          <w:lang w:val="en-US" w:eastAsia="zh-CN"/>
        </w:rPr>
        <w:t>设置</w:t>
      </w:r>
      <w:r>
        <w:rPr>
          <w:rFonts w:hint="eastAsia" w:ascii="方正仿宋_GB2312" w:hAnsi="方正仿宋_GB2312" w:eastAsia="方正仿宋_GB2312" w:cs="方正仿宋_GB2312"/>
          <w:sz w:val="32"/>
          <w:szCs w:val="32"/>
        </w:rPr>
        <w:t>一等奖1名、二等奖2名、三等奖3名。评选1位优秀指导教师。单人赛报名参赛人数不得少于6人; 若报名参赛人数或队伍末满足参赛数量要求，则取消该比赛项目。 对获奖学生根据《贵州铜仁数据职业学院竞赛认定与奖励办法(修订)》规定进行</w:t>
      </w:r>
      <w:r>
        <w:rPr>
          <w:rFonts w:hint="eastAsia" w:ascii="方正仿宋_GB2312" w:hAnsi="方正仿宋_GB2312" w:eastAsia="方正仿宋_GB2312" w:cs="方正仿宋_GB2312"/>
          <w:sz w:val="32"/>
          <w:szCs w:val="32"/>
          <w:lang w:val="en-US" w:eastAsia="zh-CN"/>
        </w:rPr>
        <w:t>奖励</w:t>
      </w:r>
      <w:r>
        <w:rPr>
          <w:rFonts w:hint="eastAsia" w:ascii="方正仿宋_GB2312" w:hAnsi="方正仿宋_GB2312" w:eastAsia="方正仿宋_GB2312" w:cs="方正仿宋_GB2312"/>
          <w:sz w:val="32"/>
          <w:szCs w:val="32"/>
        </w:rPr>
        <w:t>;优秀指导老师，颁发荣誉证书。</w:t>
      </w:r>
    </w:p>
    <w:p w14:paraId="4842D3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八、报名方式与截止日期</w:t>
      </w:r>
    </w:p>
    <w:p w14:paraId="73102F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1.本次比赛报名方</w:t>
      </w:r>
      <w:r>
        <w:rPr>
          <w:rFonts w:hint="eastAsia" w:ascii="方正仿宋_GB2312" w:hAnsi="方正仿宋_GB2312" w:eastAsia="方正仿宋_GB2312" w:cs="方正仿宋_GB2312"/>
          <w:sz w:val="32"/>
          <w:szCs w:val="32"/>
          <w:lang w:val="en-US" w:eastAsia="zh-CN"/>
        </w:rPr>
        <w:t>法</w:t>
      </w:r>
      <w:r>
        <w:rPr>
          <w:rFonts w:hint="eastAsia" w:ascii="方正仿宋_GB2312" w:hAnsi="方正仿宋_GB2312" w:eastAsia="方正仿宋_GB2312" w:cs="方正仿宋_GB2312"/>
          <w:sz w:val="32"/>
          <w:szCs w:val="32"/>
        </w:rPr>
        <w:t>分为网上报名与现场报名，网上报名的参赛人员(队伍)可通指定邮箱</w:t>
      </w:r>
      <w:r>
        <w:rPr>
          <w:rFonts w:hint="eastAsia" w:ascii="方正仿宋_GB2312" w:hAnsi="方正仿宋_GB2312" w:eastAsia="方正仿宋_GB2312" w:cs="方正仿宋_GB2312"/>
          <w:sz w:val="32"/>
          <w:szCs w:val="32"/>
          <w:lang w:val="en-US" w:eastAsia="zh-CN"/>
        </w:rPr>
        <w:t>524621060@</w:t>
      </w:r>
      <w:r>
        <w:rPr>
          <w:rFonts w:hint="eastAsia" w:ascii="方正仿宋_GB2312" w:hAnsi="方正仿宋_GB2312" w:eastAsia="方正仿宋_GB2312" w:cs="方正仿宋_GB2312"/>
          <w:sz w:val="32"/>
          <w:szCs w:val="32"/>
        </w:rPr>
        <w:t>qq</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com) 提交报名资料，现场报名的参赛人员(队伍)请到</w:t>
      </w:r>
      <w:r>
        <w:rPr>
          <w:rFonts w:hint="eastAsia" w:ascii="方正仿宋_GB2312" w:hAnsi="方正仿宋_GB2312" w:eastAsia="方正仿宋_GB2312" w:cs="方正仿宋_GB2312"/>
          <w:sz w:val="32"/>
          <w:szCs w:val="32"/>
          <w:lang w:val="en-US" w:eastAsia="zh-CN"/>
        </w:rPr>
        <w:t>图书馆201</w:t>
      </w:r>
      <w:r>
        <w:rPr>
          <w:rFonts w:hint="eastAsia" w:ascii="方正仿宋_GB2312" w:hAnsi="方正仿宋_GB2312" w:eastAsia="方正仿宋_GB2312" w:cs="方正仿宋_GB2312"/>
          <w:sz w:val="32"/>
          <w:szCs w:val="32"/>
        </w:rPr>
        <w:t>办公室进行现场报名提交</w:t>
      </w:r>
      <w:r>
        <w:rPr>
          <w:rFonts w:hint="eastAsia" w:ascii="方正仿宋_GB2312" w:hAnsi="方正仿宋_GB2312" w:eastAsia="方正仿宋_GB2312" w:cs="方正仿宋_GB2312"/>
          <w:sz w:val="32"/>
          <w:szCs w:val="32"/>
          <w:lang w:eastAsia="zh-CN"/>
        </w:rPr>
        <w:t>。</w:t>
      </w:r>
    </w:p>
    <w:p w14:paraId="29A1E6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 报名截止日期为</w:t>
      </w:r>
      <w:r>
        <w:rPr>
          <w:rFonts w:hint="eastAsia" w:ascii="方正仿宋_GB2312" w:hAnsi="方正仿宋_GB2312" w:eastAsia="方正仿宋_GB2312" w:cs="方正仿宋_GB2312"/>
          <w:sz w:val="32"/>
          <w:szCs w:val="32"/>
          <w:lang w:val="en-US" w:eastAsia="zh-CN"/>
        </w:rPr>
        <w:t>2026</w:t>
      </w:r>
      <w:r>
        <w:rPr>
          <w:rFonts w:hint="eastAsia" w:ascii="方正仿宋_GB2312" w:hAnsi="方正仿宋_GB2312" w:eastAsia="方正仿宋_GB2312" w:cs="方正仿宋_GB2312"/>
          <w:sz w:val="32"/>
          <w:szCs w:val="32"/>
        </w:rPr>
        <w:t>年</w:t>
      </w: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rPr>
        <w:t>月</w:t>
      </w:r>
      <w:r>
        <w:rPr>
          <w:rFonts w:hint="eastAsia" w:ascii="方正仿宋_GB2312" w:hAnsi="方正仿宋_GB2312" w:eastAsia="方正仿宋_GB2312" w:cs="方正仿宋_GB2312"/>
          <w:sz w:val="32"/>
          <w:szCs w:val="32"/>
          <w:lang w:val="en-US" w:eastAsia="zh-CN"/>
        </w:rPr>
        <w:t>13</w:t>
      </w:r>
      <w:r>
        <w:rPr>
          <w:rFonts w:hint="eastAsia" w:ascii="方正仿宋_GB2312" w:hAnsi="方正仿宋_GB2312" w:eastAsia="方正仿宋_GB2312" w:cs="方正仿宋_GB2312"/>
          <w:sz w:val="32"/>
          <w:szCs w:val="32"/>
        </w:rPr>
        <w:t>日</w:t>
      </w:r>
      <w:r>
        <w:rPr>
          <w:rFonts w:hint="eastAsia" w:ascii="方正仿宋_GB2312" w:hAnsi="方正仿宋_GB2312" w:eastAsia="方正仿宋_GB2312" w:cs="方正仿宋_GB2312"/>
          <w:sz w:val="32"/>
          <w:szCs w:val="32"/>
          <w:lang w:val="en-US" w:eastAsia="zh-CN"/>
        </w:rPr>
        <w:t>21</w:t>
      </w:r>
      <w:bookmarkStart w:id="3" w:name="_GoBack"/>
      <w:bookmarkEnd w:id="3"/>
      <w:r>
        <w:rPr>
          <w:rFonts w:hint="eastAsia" w:ascii="方正仿宋_GB2312" w:hAnsi="方正仿宋_GB2312" w:eastAsia="方正仿宋_GB2312" w:cs="方正仿宋_GB2312"/>
          <w:sz w:val="32"/>
          <w:szCs w:val="32"/>
          <w:lang w:val="en-US" w:eastAsia="zh-CN"/>
        </w:rPr>
        <w:t>：00</w:t>
      </w:r>
      <w:r>
        <w:rPr>
          <w:rFonts w:hint="eastAsia" w:ascii="方正仿宋_GB2312" w:hAnsi="方正仿宋_GB2312" w:eastAsia="方正仿宋_GB2312" w:cs="方正仿宋_GB2312"/>
          <w:sz w:val="32"/>
          <w:szCs w:val="32"/>
        </w:rPr>
        <w:t>, 逾期将不予受理。</w:t>
      </w:r>
    </w:p>
    <w:p w14:paraId="0D0EC7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 在填写过程中请认真填写，如实提供队伍名称、队员名单及联系方</w:t>
      </w:r>
      <w:r>
        <w:rPr>
          <w:rFonts w:hint="eastAsia" w:ascii="方正仿宋_GB2312" w:hAnsi="方正仿宋_GB2312" w:eastAsia="方正仿宋_GB2312" w:cs="方正仿宋_GB2312"/>
          <w:sz w:val="32"/>
          <w:szCs w:val="32"/>
          <w:lang w:val="en-US" w:eastAsia="zh-CN"/>
        </w:rPr>
        <w:t>法</w:t>
      </w:r>
      <w:r>
        <w:rPr>
          <w:rFonts w:hint="eastAsia" w:ascii="方正仿宋_GB2312" w:hAnsi="方正仿宋_GB2312" w:eastAsia="方正仿宋_GB2312" w:cs="方正仿宋_GB2312"/>
          <w:sz w:val="32"/>
          <w:szCs w:val="32"/>
        </w:rPr>
        <w:t>等相关信息。</w:t>
      </w:r>
    </w:p>
    <w:p w14:paraId="6558E6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4.如有疑问，请联系咨询</w:t>
      </w:r>
      <w:r>
        <w:rPr>
          <w:rFonts w:hint="eastAsia" w:ascii="方正仿宋_GB2312" w:hAnsi="方正仿宋_GB2312" w:eastAsia="方正仿宋_GB2312" w:cs="方正仿宋_GB2312"/>
          <w:sz w:val="32"/>
          <w:szCs w:val="32"/>
          <w:lang w:val="en-US" w:eastAsia="zh-CN"/>
        </w:rPr>
        <w:t>覃兵</w:t>
      </w:r>
      <w:r>
        <w:rPr>
          <w:rFonts w:hint="eastAsia" w:ascii="方正仿宋_GB2312" w:hAnsi="方正仿宋_GB2312" w:eastAsia="方正仿宋_GB2312" w:cs="方正仿宋_GB2312"/>
          <w:sz w:val="32"/>
          <w:szCs w:val="32"/>
        </w:rPr>
        <w:t>老师：</w:t>
      </w:r>
      <w:r>
        <w:rPr>
          <w:rFonts w:hint="eastAsia" w:ascii="方正仿宋_GB2312" w:hAnsi="方正仿宋_GB2312" w:eastAsia="方正仿宋_GB2312" w:cs="方正仿宋_GB2312"/>
          <w:sz w:val="32"/>
          <w:szCs w:val="32"/>
          <w:lang w:val="en-US" w:eastAsia="zh-CN"/>
        </w:rPr>
        <w:t>13308565550</w:t>
      </w:r>
      <w:r>
        <w:rPr>
          <w:rFonts w:hint="eastAsia" w:ascii="方正仿宋_GB2312" w:hAnsi="方正仿宋_GB2312" w:eastAsia="方正仿宋_GB2312" w:cs="方正仿宋_GB2312"/>
          <w:sz w:val="32"/>
          <w:szCs w:val="32"/>
        </w:rPr>
        <w:t>。</w:t>
      </w:r>
    </w:p>
    <w:p w14:paraId="72E26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p>
    <w:p w14:paraId="112E5F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lang w:val="en-US" w:eastAsia="zh-CN"/>
        </w:rPr>
      </w:pPr>
    </w:p>
    <w:p w14:paraId="4E7D12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lang w:val="en-US" w:eastAsia="zh-CN"/>
        </w:rPr>
      </w:pPr>
    </w:p>
    <w:p w14:paraId="596040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lang w:val="en-US" w:eastAsia="zh-CN"/>
        </w:rPr>
      </w:pPr>
    </w:p>
    <w:p w14:paraId="25E4168B">
      <w:pPr>
        <w:pStyle w:val="2"/>
        <w:spacing w:before="100" w:line="410" w:lineRule="exact"/>
        <w:ind w:left="591"/>
        <w:rPr>
          <w:spacing w:val="4"/>
          <w:position w:val="1"/>
        </w:rPr>
      </w:pPr>
    </w:p>
    <w:p w14:paraId="44A9B218">
      <w:pPr>
        <w:pStyle w:val="2"/>
        <w:spacing w:before="100" w:line="410" w:lineRule="exact"/>
        <w:ind w:left="591"/>
        <w:rPr>
          <w:spacing w:val="4"/>
          <w:position w:val="1"/>
        </w:rPr>
      </w:pPr>
    </w:p>
    <w:p w14:paraId="6F1D6F8E">
      <w:pPr>
        <w:pStyle w:val="2"/>
        <w:spacing w:before="100" w:line="410" w:lineRule="exact"/>
        <w:ind w:left="591"/>
        <w:rPr>
          <w:spacing w:val="4"/>
          <w:position w:val="1"/>
        </w:rPr>
      </w:pPr>
    </w:p>
    <w:p w14:paraId="5309AD6B">
      <w:pPr>
        <w:pStyle w:val="2"/>
        <w:spacing w:before="100" w:line="410" w:lineRule="exact"/>
        <w:rPr>
          <w:spacing w:val="4"/>
          <w:position w:val="1"/>
        </w:rPr>
        <w:sectPr>
          <w:pgSz w:w="11906" w:h="16839"/>
          <w:pgMar w:top="1491" w:right="1536" w:bottom="1491" w:left="1536" w:header="0" w:footer="0" w:gutter="0"/>
          <w:cols w:space="720" w:num="1"/>
        </w:sectPr>
      </w:pPr>
    </w:p>
    <w:p w14:paraId="5AF78E08">
      <w:pPr>
        <w:pStyle w:val="2"/>
        <w:spacing w:before="100" w:line="410" w:lineRule="exact"/>
        <w:rPr>
          <w:spacing w:val="4"/>
          <w:position w:val="1"/>
        </w:rPr>
      </w:pPr>
    </w:p>
    <w:p w14:paraId="7149A066">
      <w:pPr>
        <w:pStyle w:val="2"/>
        <w:spacing w:before="100" w:line="410" w:lineRule="exact"/>
        <w:ind w:left="591"/>
        <w:rPr>
          <w:spacing w:val="4"/>
          <w:position w:val="1"/>
        </w:rPr>
      </w:pPr>
      <w:r>
        <w:rPr>
          <w:spacing w:val="4"/>
          <w:position w:val="1"/>
        </w:rPr>
        <w:t>附件1：</w:t>
      </w:r>
    </w:p>
    <w:p w14:paraId="4FC083FD">
      <w:pPr>
        <w:pStyle w:val="2"/>
        <w:spacing w:before="100" w:line="410" w:lineRule="exact"/>
        <w:ind w:left="591"/>
        <w:jc w:val="center"/>
      </w:pPr>
      <w:r>
        <w:rPr>
          <w:spacing w:val="4"/>
          <w:position w:val="1"/>
        </w:rPr>
        <w:t>贵州铜仁数据职业学院数字技术学院</w:t>
      </w:r>
      <w:r>
        <w:rPr>
          <w:rFonts w:hint="eastAsia"/>
          <w:spacing w:val="4"/>
          <w:position w:val="1"/>
          <w:lang w:eastAsia="zh-CN"/>
        </w:rPr>
        <w:t>2026</w:t>
      </w:r>
      <w:r>
        <w:rPr>
          <w:spacing w:val="-42"/>
          <w:position w:val="1"/>
        </w:rPr>
        <w:t xml:space="preserve"> </w:t>
      </w:r>
      <w:r>
        <w:rPr>
          <w:spacing w:val="4"/>
          <w:position w:val="1"/>
        </w:rPr>
        <w:t>年技能竞赛（</w:t>
      </w:r>
      <w:r>
        <w:rPr>
          <w:position w:val="1"/>
        </w:rPr>
        <w:t>XXX</w:t>
      </w:r>
      <w:r>
        <w:rPr>
          <w:spacing w:val="-57"/>
          <w:position w:val="1"/>
        </w:rPr>
        <w:t xml:space="preserve"> </w:t>
      </w:r>
      <w:r>
        <w:rPr>
          <w:spacing w:val="4"/>
          <w:position w:val="1"/>
        </w:rPr>
        <w:t>项</w:t>
      </w:r>
      <w:r>
        <w:rPr>
          <w:spacing w:val="-72"/>
          <w:position w:val="1"/>
        </w:rPr>
        <w:t xml:space="preserve"> </w:t>
      </w:r>
      <w:r>
        <w:rPr>
          <w:spacing w:val="4"/>
          <w:position w:val="1"/>
        </w:rPr>
        <w:t>目</w:t>
      </w:r>
      <w:r>
        <w:rPr>
          <w:spacing w:val="-65"/>
          <w:position w:val="1"/>
        </w:rPr>
        <w:t xml:space="preserve"> </w:t>
      </w:r>
      <w:r>
        <w:rPr>
          <w:spacing w:val="4"/>
          <w:position w:val="1"/>
        </w:rPr>
        <w:t>）竞赛报名表</w:t>
      </w:r>
    </w:p>
    <w:p w14:paraId="729E0D82">
      <w:pPr>
        <w:pStyle w:val="2"/>
        <w:spacing w:before="143" w:line="223" w:lineRule="auto"/>
        <w:ind w:left="243"/>
      </w:pPr>
      <w:r>
        <w:rPr>
          <w:spacing w:val="-9"/>
        </w:rPr>
        <w:t>院（</w:t>
      </w:r>
      <w:r>
        <w:rPr>
          <w:rFonts w:ascii="宋体" w:hAnsi="宋体" w:eastAsia="宋体" w:cs="宋体"/>
          <w:spacing w:val="-9"/>
        </w:rPr>
        <w:t>部</w:t>
      </w:r>
      <w:r>
        <w:rPr>
          <w:spacing w:val="3"/>
        </w:rPr>
        <w:t>）：</w:t>
      </w:r>
      <w:r>
        <w:rPr>
          <w:spacing w:val="1"/>
        </w:rPr>
        <w:t xml:space="preserve">                           </w:t>
      </w:r>
      <w:r>
        <w:rPr>
          <w:spacing w:val="-9"/>
        </w:rPr>
        <w:t>汇总人：</w:t>
      </w:r>
      <w:r>
        <w:rPr>
          <w:spacing w:val="4"/>
        </w:rPr>
        <w:t xml:space="preserve">                 </w:t>
      </w:r>
      <w:r>
        <w:rPr>
          <w:spacing w:val="-9"/>
        </w:rPr>
        <w:t>日</w:t>
      </w:r>
      <w:r>
        <w:rPr>
          <w:rFonts w:ascii="宋体" w:hAnsi="宋体" w:eastAsia="宋体" w:cs="宋体"/>
          <w:spacing w:val="-9"/>
        </w:rPr>
        <w:t>期</w:t>
      </w:r>
      <w:r>
        <w:rPr>
          <w:spacing w:val="-9"/>
        </w:rPr>
        <w:t>：</w:t>
      </w:r>
    </w:p>
    <w:p w14:paraId="08B3F4C2">
      <w:pPr>
        <w:spacing w:line="118" w:lineRule="auto"/>
        <w:rPr>
          <w:rFonts w:ascii="Arial"/>
          <w:sz w:val="2"/>
        </w:rPr>
      </w:pPr>
    </w:p>
    <w:tbl>
      <w:tblPr>
        <w:tblStyle w:val="8"/>
        <w:tblW w:w="1487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6"/>
        <w:gridCol w:w="1137"/>
        <w:gridCol w:w="1877"/>
        <w:gridCol w:w="1754"/>
        <w:gridCol w:w="1934"/>
        <w:gridCol w:w="1889"/>
        <w:gridCol w:w="1740"/>
        <w:gridCol w:w="1769"/>
        <w:gridCol w:w="1894"/>
      </w:tblGrid>
      <w:tr w14:paraId="2C8C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jc w:val="center"/>
        </w:trPr>
        <w:tc>
          <w:tcPr>
            <w:tcW w:w="876" w:type="dxa"/>
            <w:vAlign w:val="top"/>
          </w:tcPr>
          <w:p w14:paraId="0CCD154B">
            <w:pPr>
              <w:spacing w:line="354" w:lineRule="auto"/>
              <w:rPr>
                <w:rFonts w:ascii="Arial"/>
                <w:sz w:val="21"/>
              </w:rPr>
            </w:pPr>
          </w:p>
          <w:p w14:paraId="3EAA0302">
            <w:pPr>
              <w:pStyle w:val="9"/>
              <w:spacing w:before="100" w:line="412" w:lineRule="exact"/>
              <w:ind w:left="136"/>
            </w:pPr>
            <w:r>
              <w:rPr>
                <w:b/>
                <w:bCs/>
                <w:spacing w:val="-5"/>
                <w:position w:val="1"/>
              </w:rPr>
              <w:t>序号</w:t>
            </w:r>
          </w:p>
        </w:tc>
        <w:tc>
          <w:tcPr>
            <w:tcW w:w="1137" w:type="dxa"/>
            <w:vAlign w:val="top"/>
          </w:tcPr>
          <w:p w14:paraId="5882C0DE">
            <w:pPr>
              <w:spacing w:line="354" w:lineRule="auto"/>
              <w:rPr>
                <w:rFonts w:ascii="Arial"/>
                <w:sz w:val="21"/>
              </w:rPr>
            </w:pPr>
          </w:p>
          <w:p w14:paraId="4A5856FA">
            <w:pPr>
              <w:pStyle w:val="9"/>
              <w:spacing w:before="100" w:line="415" w:lineRule="exact"/>
              <w:ind w:left="261"/>
            </w:pPr>
            <w:r>
              <w:rPr>
                <w:b/>
                <w:bCs/>
                <w:spacing w:val="-4"/>
                <w:position w:val="1"/>
              </w:rPr>
              <w:t>姓名</w:t>
            </w:r>
          </w:p>
        </w:tc>
        <w:tc>
          <w:tcPr>
            <w:tcW w:w="1877" w:type="dxa"/>
            <w:vAlign w:val="top"/>
          </w:tcPr>
          <w:p w14:paraId="3520F094">
            <w:pPr>
              <w:spacing w:line="354" w:lineRule="auto"/>
              <w:rPr>
                <w:rFonts w:ascii="Arial"/>
                <w:sz w:val="21"/>
              </w:rPr>
            </w:pPr>
          </w:p>
          <w:p w14:paraId="54F2BB1A">
            <w:pPr>
              <w:pStyle w:val="9"/>
              <w:spacing w:before="100" w:line="413" w:lineRule="exact"/>
              <w:ind w:left="634"/>
            </w:pPr>
            <w:r>
              <w:rPr>
                <w:b/>
                <w:bCs/>
                <w:spacing w:val="-5"/>
                <w:position w:val="1"/>
              </w:rPr>
              <w:t>班级</w:t>
            </w:r>
          </w:p>
        </w:tc>
        <w:tc>
          <w:tcPr>
            <w:tcW w:w="1754" w:type="dxa"/>
            <w:vAlign w:val="top"/>
          </w:tcPr>
          <w:p w14:paraId="52F1143C">
            <w:pPr>
              <w:spacing w:line="354" w:lineRule="auto"/>
              <w:rPr>
                <w:rFonts w:ascii="Arial"/>
                <w:sz w:val="21"/>
              </w:rPr>
            </w:pPr>
          </w:p>
          <w:p w14:paraId="5C25AEC0">
            <w:pPr>
              <w:pStyle w:val="9"/>
              <w:spacing w:before="100" w:line="413" w:lineRule="exact"/>
              <w:ind w:left="587"/>
            </w:pPr>
            <w:r>
              <w:rPr>
                <w:b/>
                <w:bCs/>
                <w:spacing w:val="-11"/>
                <w:position w:val="1"/>
              </w:rPr>
              <w:t>学号</w:t>
            </w:r>
          </w:p>
        </w:tc>
        <w:tc>
          <w:tcPr>
            <w:tcW w:w="1934" w:type="dxa"/>
            <w:vAlign w:val="top"/>
          </w:tcPr>
          <w:p w14:paraId="71DC51E4">
            <w:pPr>
              <w:spacing w:line="354" w:lineRule="auto"/>
              <w:rPr>
                <w:rFonts w:ascii="Arial"/>
                <w:sz w:val="21"/>
              </w:rPr>
            </w:pPr>
          </w:p>
          <w:p w14:paraId="50F7D109">
            <w:pPr>
              <w:pStyle w:val="9"/>
              <w:spacing w:before="100" w:line="414" w:lineRule="exact"/>
              <w:ind w:left="667"/>
            </w:pPr>
            <w:r>
              <w:rPr>
                <w:b/>
                <w:bCs/>
                <w:spacing w:val="-5"/>
                <w:position w:val="1"/>
              </w:rPr>
              <w:t>专业</w:t>
            </w:r>
          </w:p>
        </w:tc>
        <w:tc>
          <w:tcPr>
            <w:tcW w:w="1889" w:type="dxa"/>
            <w:vAlign w:val="top"/>
          </w:tcPr>
          <w:p w14:paraId="4E55E96C">
            <w:pPr>
              <w:spacing w:line="354" w:lineRule="auto"/>
              <w:rPr>
                <w:rFonts w:ascii="Arial"/>
                <w:sz w:val="21"/>
              </w:rPr>
            </w:pPr>
          </w:p>
          <w:p w14:paraId="19D97D3B">
            <w:pPr>
              <w:pStyle w:val="9"/>
              <w:spacing w:before="100" w:line="413" w:lineRule="exact"/>
              <w:ind w:left="315"/>
            </w:pPr>
            <w:r>
              <w:rPr>
                <w:b/>
                <w:bCs/>
                <w:spacing w:val="3"/>
                <w:position w:val="1"/>
              </w:rPr>
              <w:t>联系方式</w:t>
            </w:r>
          </w:p>
        </w:tc>
        <w:tc>
          <w:tcPr>
            <w:tcW w:w="1740" w:type="dxa"/>
            <w:vAlign w:val="top"/>
          </w:tcPr>
          <w:p w14:paraId="4EF5F6BD">
            <w:pPr>
              <w:spacing w:line="354" w:lineRule="auto"/>
              <w:rPr>
                <w:rFonts w:ascii="Arial"/>
                <w:sz w:val="21"/>
              </w:rPr>
            </w:pPr>
          </w:p>
          <w:p w14:paraId="42F68350">
            <w:pPr>
              <w:pStyle w:val="9"/>
              <w:spacing w:before="100" w:line="414" w:lineRule="exact"/>
              <w:ind w:left="247"/>
            </w:pPr>
            <w:r>
              <w:rPr>
                <w:b/>
                <w:bCs/>
                <w:spacing w:val="-1"/>
                <w:position w:val="1"/>
              </w:rPr>
              <w:t>参赛项</w:t>
            </w:r>
            <w:r>
              <w:rPr>
                <w:spacing w:val="-68"/>
                <w:position w:val="1"/>
              </w:rPr>
              <w:t xml:space="preserve"> </w:t>
            </w:r>
            <w:r>
              <w:rPr>
                <w:b/>
                <w:bCs/>
                <w:spacing w:val="-1"/>
                <w:position w:val="1"/>
              </w:rPr>
              <w:t>目</w:t>
            </w:r>
          </w:p>
        </w:tc>
        <w:tc>
          <w:tcPr>
            <w:tcW w:w="1769" w:type="dxa"/>
            <w:vAlign w:val="top"/>
          </w:tcPr>
          <w:p w14:paraId="23E6BA1C">
            <w:pPr>
              <w:pStyle w:val="9"/>
              <w:spacing w:before="142" w:line="413" w:lineRule="exact"/>
              <w:ind w:left="297"/>
            </w:pPr>
            <w:r>
              <w:rPr>
                <w:b/>
                <w:bCs/>
                <w:spacing w:val="-7"/>
                <w:position w:val="1"/>
              </w:rPr>
              <w:t>团队成员</w:t>
            </w:r>
          </w:p>
          <w:p w14:paraId="2C7325C4">
            <w:pPr>
              <w:pStyle w:val="9"/>
              <w:spacing w:before="216" w:line="411" w:lineRule="exact"/>
              <w:ind w:left="231"/>
            </w:pPr>
            <w:r>
              <w:rPr>
                <w:b/>
                <w:bCs/>
                <w:spacing w:val="12"/>
                <w:position w:val="1"/>
              </w:rPr>
              <w:t>（如有）</w:t>
            </w:r>
          </w:p>
        </w:tc>
        <w:tc>
          <w:tcPr>
            <w:tcW w:w="1894" w:type="dxa"/>
            <w:vAlign w:val="top"/>
          </w:tcPr>
          <w:p w14:paraId="4456F044">
            <w:pPr>
              <w:pStyle w:val="9"/>
              <w:spacing w:before="142" w:line="409" w:lineRule="exact"/>
              <w:ind w:left="360"/>
            </w:pPr>
            <w:r>
              <w:rPr>
                <w:b/>
                <w:bCs/>
                <w:spacing w:val="-7"/>
                <w:position w:val="1"/>
              </w:rPr>
              <w:t>团队名称</w:t>
            </w:r>
          </w:p>
          <w:p w14:paraId="42B70A32">
            <w:pPr>
              <w:pStyle w:val="9"/>
              <w:spacing w:before="219" w:line="412" w:lineRule="exact"/>
              <w:ind w:left="293"/>
            </w:pPr>
            <w:r>
              <w:rPr>
                <w:b/>
                <w:bCs/>
                <w:spacing w:val="12"/>
                <w:position w:val="1"/>
              </w:rPr>
              <w:t>（如有）</w:t>
            </w:r>
          </w:p>
        </w:tc>
      </w:tr>
      <w:tr w14:paraId="2AB2AF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41CCCF08">
            <w:pPr>
              <w:pStyle w:val="9"/>
              <w:spacing w:before="138" w:line="445" w:lineRule="exact"/>
              <w:ind w:left="371"/>
            </w:pPr>
            <w:r>
              <w:rPr>
                <w:position w:val="3"/>
              </w:rPr>
              <w:t>1</w:t>
            </w:r>
          </w:p>
        </w:tc>
        <w:tc>
          <w:tcPr>
            <w:tcW w:w="1137" w:type="dxa"/>
            <w:vAlign w:val="top"/>
          </w:tcPr>
          <w:p w14:paraId="611D7BA5">
            <w:pPr>
              <w:rPr>
                <w:rFonts w:ascii="Arial"/>
                <w:sz w:val="21"/>
              </w:rPr>
            </w:pPr>
          </w:p>
        </w:tc>
        <w:tc>
          <w:tcPr>
            <w:tcW w:w="1877" w:type="dxa"/>
            <w:vAlign w:val="top"/>
          </w:tcPr>
          <w:p w14:paraId="66769FB4">
            <w:pPr>
              <w:rPr>
                <w:rFonts w:ascii="Arial"/>
                <w:sz w:val="21"/>
              </w:rPr>
            </w:pPr>
          </w:p>
        </w:tc>
        <w:tc>
          <w:tcPr>
            <w:tcW w:w="1754" w:type="dxa"/>
            <w:vAlign w:val="top"/>
          </w:tcPr>
          <w:p w14:paraId="5F1EF9C7">
            <w:pPr>
              <w:rPr>
                <w:rFonts w:ascii="Arial"/>
                <w:sz w:val="21"/>
              </w:rPr>
            </w:pPr>
          </w:p>
        </w:tc>
        <w:tc>
          <w:tcPr>
            <w:tcW w:w="1934" w:type="dxa"/>
            <w:vAlign w:val="top"/>
          </w:tcPr>
          <w:p w14:paraId="0FA36E2E">
            <w:pPr>
              <w:rPr>
                <w:rFonts w:ascii="Arial"/>
                <w:sz w:val="21"/>
              </w:rPr>
            </w:pPr>
          </w:p>
        </w:tc>
        <w:tc>
          <w:tcPr>
            <w:tcW w:w="1889" w:type="dxa"/>
            <w:vAlign w:val="top"/>
          </w:tcPr>
          <w:p w14:paraId="3B222733">
            <w:pPr>
              <w:rPr>
                <w:rFonts w:ascii="Arial"/>
                <w:sz w:val="21"/>
              </w:rPr>
            </w:pPr>
          </w:p>
        </w:tc>
        <w:tc>
          <w:tcPr>
            <w:tcW w:w="1740" w:type="dxa"/>
            <w:vAlign w:val="top"/>
          </w:tcPr>
          <w:p w14:paraId="4D0D4E82">
            <w:pPr>
              <w:rPr>
                <w:rFonts w:ascii="Arial"/>
                <w:sz w:val="21"/>
              </w:rPr>
            </w:pPr>
          </w:p>
        </w:tc>
        <w:tc>
          <w:tcPr>
            <w:tcW w:w="1769" w:type="dxa"/>
            <w:vAlign w:val="top"/>
          </w:tcPr>
          <w:p w14:paraId="6A70833D">
            <w:pPr>
              <w:rPr>
                <w:rFonts w:ascii="Arial"/>
                <w:sz w:val="21"/>
              </w:rPr>
            </w:pPr>
          </w:p>
        </w:tc>
        <w:tc>
          <w:tcPr>
            <w:tcW w:w="1894" w:type="dxa"/>
            <w:vAlign w:val="top"/>
          </w:tcPr>
          <w:p w14:paraId="2E031042">
            <w:pPr>
              <w:rPr>
                <w:rFonts w:ascii="Arial"/>
                <w:sz w:val="21"/>
              </w:rPr>
            </w:pPr>
          </w:p>
        </w:tc>
      </w:tr>
      <w:tr w14:paraId="6E882E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7A4FE1C7">
            <w:pPr>
              <w:pStyle w:val="9"/>
              <w:spacing w:before="140" w:line="445" w:lineRule="exact"/>
              <w:ind w:left="367"/>
            </w:pPr>
            <w:r>
              <w:rPr>
                <w:position w:val="3"/>
              </w:rPr>
              <w:t>2</w:t>
            </w:r>
          </w:p>
        </w:tc>
        <w:tc>
          <w:tcPr>
            <w:tcW w:w="1137" w:type="dxa"/>
            <w:vAlign w:val="top"/>
          </w:tcPr>
          <w:p w14:paraId="3CE34D66">
            <w:pPr>
              <w:rPr>
                <w:rFonts w:ascii="Arial"/>
                <w:sz w:val="21"/>
              </w:rPr>
            </w:pPr>
          </w:p>
        </w:tc>
        <w:tc>
          <w:tcPr>
            <w:tcW w:w="1877" w:type="dxa"/>
            <w:vAlign w:val="top"/>
          </w:tcPr>
          <w:p w14:paraId="03638FD7">
            <w:pPr>
              <w:rPr>
                <w:rFonts w:ascii="Arial"/>
                <w:sz w:val="21"/>
              </w:rPr>
            </w:pPr>
          </w:p>
        </w:tc>
        <w:tc>
          <w:tcPr>
            <w:tcW w:w="1754" w:type="dxa"/>
            <w:vAlign w:val="top"/>
          </w:tcPr>
          <w:p w14:paraId="6AFC7A47">
            <w:pPr>
              <w:rPr>
                <w:rFonts w:ascii="Arial"/>
                <w:sz w:val="21"/>
              </w:rPr>
            </w:pPr>
          </w:p>
        </w:tc>
        <w:tc>
          <w:tcPr>
            <w:tcW w:w="1934" w:type="dxa"/>
            <w:vAlign w:val="top"/>
          </w:tcPr>
          <w:p w14:paraId="7A5CC4B3">
            <w:pPr>
              <w:rPr>
                <w:rFonts w:ascii="Arial"/>
                <w:sz w:val="21"/>
              </w:rPr>
            </w:pPr>
          </w:p>
        </w:tc>
        <w:tc>
          <w:tcPr>
            <w:tcW w:w="1889" w:type="dxa"/>
            <w:vAlign w:val="top"/>
          </w:tcPr>
          <w:p w14:paraId="2AD89660">
            <w:pPr>
              <w:rPr>
                <w:rFonts w:ascii="Arial"/>
                <w:sz w:val="21"/>
              </w:rPr>
            </w:pPr>
          </w:p>
        </w:tc>
        <w:tc>
          <w:tcPr>
            <w:tcW w:w="1740" w:type="dxa"/>
            <w:vAlign w:val="top"/>
          </w:tcPr>
          <w:p w14:paraId="336932BD">
            <w:pPr>
              <w:rPr>
                <w:rFonts w:ascii="Arial"/>
                <w:sz w:val="21"/>
              </w:rPr>
            </w:pPr>
          </w:p>
        </w:tc>
        <w:tc>
          <w:tcPr>
            <w:tcW w:w="1769" w:type="dxa"/>
            <w:vAlign w:val="top"/>
          </w:tcPr>
          <w:p w14:paraId="60C1EE04">
            <w:pPr>
              <w:rPr>
                <w:rFonts w:ascii="Arial"/>
                <w:sz w:val="21"/>
              </w:rPr>
            </w:pPr>
          </w:p>
        </w:tc>
        <w:tc>
          <w:tcPr>
            <w:tcW w:w="1894" w:type="dxa"/>
            <w:vAlign w:val="top"/>
          </w:tcPr>
          <w:p w14:paraId="52863724">
            <w:pPr>
              <w:rPr>
                <w:rFonts w:ascii="Arial"/>
                <w:sz w:val="21"/>
              </w:rPr>
            </w:pPr>
          </w:p>
        </w:tc>
      </w:tr>
      <w:tr w14:paraId="0B7A2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7C9E5C8A">
            <w:pPr>
              <w:pStyle w:val="9"/>
              <w:spacing w:before="139" w:line="443" w:lineRule="exact"/>
              <w:ind w:left="363"/>
            </w:pPr>
            <w:r>
              <w:rPr>
                <w:position w:val="3"/>
              </w:rPr>
              <w:t>3</w:t>
            </w:r>
          </w:p>
        </w:tc>
        <w:tc>
          <w:tcPr>
            <w:tcW w:w="1137" w:type="dxa"/>
            <w:vAlign w:val="top"/>
          </w:tcPr>
          <w:p w14:paraId="73D9FC1D">
            <w:pPr>
              <w:rPr>
                <w:rFonts w:ascii="Arial"/>
                <w:sz w:val="21"/>
              </w:rPr>
            </w:pPr>
          </w:p>
        </w:tc>
        <w:tc>
          <w:tcPr>
            <w:tcW w:w="1877" w:type="dxa"/>
            <w:vAlign w:val="top"/>
          </w:tcPr>
          <w:p w14:paraId="132124C7">
            <w:pPr>
              <w:rPr>
                <w:rFonts w:ascii="Arial"/>
                <w:sz w:val="21"/>
              </w:rPr>
            </w:pPr>
          </w:p>
        </w:tc>
        <w:tc>
          <w:tcPr>
            <w:tcW w:w="1754" w:type="dxa"/>
            <w:vAlign w:val="top"/>
          </w:tcPr>
          <w:p w14:paraId="23941067">
            <w:pPr>
              <w:rPr>
                <w:rFonts w:ascii="Arial"/>
                <w:sz w:val="21"/>
              </w:rPr>
            </w:pPr>
          </w:p>
        </w:tc>
        <w:tc>
          <w:tcPr>
            <w:tcW w:w="1934" w:type="dxa"/>
            <w:vAlign w:val="top"/>
          </w:tcPr>
          <w:p w14:paraId="335B9F2F">
            <w:pPr>
              <w:rPr>
                <w:rFonts w:ascii="Arial"/>
                <w:sz w:val="21"/>
              </w:rPr>
            </w:pPr>
          </w:p>
        </w:tc>
        <w:tc>
          <w:tcPr>
            <w:tcW w:w="1889" w:type="dxa"/>
            <w:vAlign w:val="top"/>
          </w:tcPr>
          <w:p w14:paraId="20A4D8D6">
            <w:pPr>
              <w:rPr>
                <w:rFonts w:ascii="Arial"/>
                <w:sz w:val="21"/>
              </w:rPr>
            </w:pPr>
          </w:p>
        </w:tc>
        <w:tc>
          <w:tcPr>
            <w:tcW w:w="1740" w:type="dxa"/>
            <w:vAlign w:val="top"/>
          </w:tcPr>
          <w:p w14:paraId="1A237EA5">
            <w:pPr>
              <w:rPr>
                <w:rFonts w:ascii="Arial"/>
                <w:sz w:val="21"/>
              </w:rPr>
            </w:pPr>
          </w:p>
        </w:tc>
        <w:tc>
          <w:tcPr>
            <w:tcW w:w="1769" w:type="dxa"/>
            <w:vAlign w:val="top"/>
          </w:tcPr>
          <w:p w14:paraId="2C1A2A6C">
            <w:pPr>
              <w:rPr>
                <w:rFonts w:ascii="Arial"/>
                <w:sz w:val="21"/>
              </w:rPr>
            </w:pPr>
          </w:p>
        </w:tc>
        <w:tc>
          <w:tcPr>
            <w:tcW w:w="1894" w:type="dxa"/>
            <w:vAlign w:val="top"/>
          </w:tcPr>
          <w:p w14:paraId="27DC0C66">
            <w:pPr>
              <w:rPr>
                <w:rFonts w:ascii="Arial"/>
                <w:sz w:val="21"/>
              </w:rPr>
            </w:pPr>
          </w:p>
        </w:tc>
      </w:tr>
      <w:tr w14:paraId="31B73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50E5CE65">
            <w:pPr>
              <w:pStyle w:val="9"/>
              <w:spacing w:before="141" w:line="445" w:lineRule="exact"/>
              <w:ind w:left="362"/>
            </w:pPr>
            <w:r>
              <w:rPr>
                <w:spacing w:val="4"/>
                <w:position w:val="3"/>
              </w:rPr>
              <w:t>4</w:t>
            </w:r>
          </w:p>
        </w:tc>
        <w:tc>
          <w:tcPr>
            <w:tcW w:w="1137" w:type="dxa"/>
            <w:vAlign w:val="top"/>
          </w:tcPr>
          <w:p w14:paraId="61BC05C3">
            <w:pPr>
              <w:rPr>
                <w:rFonts w:ascii="Arial"/>
                <w:sz w:val="21"/>
              </w:rPr>
            </w:pPr>
          </w:p>
        </w:tc>
        <w:tc>
          <w:tcPr>
            <w:tcW w:w="1877" w:type="dxa"/>
            <w:vAlign w:val="top"/>
          </w:tcPr>
          <w:p w14:paraId="6C4035CC">
            <w:pPr>
              <w:rPr>
                <w:rFonts w:ascii="Arial"/>
                <w:sz w:val="21"/>
              </w:rPr>
            </w:pPr>
          </w:p>
        </w:tc>
        <w:tc>
          <w:tcPr>
            <w:tcW w:w="1754" w:type="dxa"/>
            <w:vAlign w:val="top"/>
          </w:tcPr>
          <w:p w14:paraId="2AE179AF">
            <w:pPr>
              <w:rPr>
                <w:rFonts w:ascii="Arial"/>
                <w:sz w:val="21"/>
              </w:rPr>
            </w:pPr>
          </w:p>
        </w:tc>
        <w:tc>
          <w:tcPr>
            <w:tcW w:w="1934" w:type="dxa"/>
            <w:vAlign w:val="top"/>
          </w:tcPr>
          <w:p w14:paraId="36A8FEA9">
            <w:pPr>
              <w:rPr>
                <w:rFonts w:ascii="Arial"/>
                <w:sz w:val="21"/>
              </w:rPr>
            </w:pPr>
          </w:p>
        </w:tc>
        <w:tc>
          <w:tcPr>
            <w:tcW w:w="1889" w:type="dxa"/>
            <w:vAlign w:val="top"/>
          </w:tcPr>
          <w:p w14:paraId="5F941C01">
            <w:pPr>
              <w:rPr>
                <w:rFonts w:ascii="Arial"/>
                <w:sz w:val="21"/>
              </w:rPr>
            </w:pPr>
          </w:p>
        </w:tc>
        <w:tc>
          <w:tcPr>
            <w:tcW w:w="1740" w:type="dxa"/>
            <w:vAlign w:val="top"/>
          </w:tcPr>
          <w:p w14:paraId="69B90C19">
            <w:pPr>
              <w:rPr>
                <w:rFonts w:ascii="Arial"/>
                <w:sz w:val="21"/>
              </w:rPr>
            </w:pPr>
          </w:p>
        </w:tc>
        <w:tc>
          <w:tcPr>
            <w:tcW w:w="1769" w:type="dxa"/>
            <w:vAlign w:val="top"/>
          </w:tcPr>
          <w:p w14:paraId="4CC66A6C">
            <w:pPr>
              <w:rPr>
                <w:rFonts w:ascii="Arial"/>
                <w:sz w:val="21"/>
              </w:rPr>
            </w:pPr>
          </w:p>
        </w:tc>
        <w:tc>
          <w:tcPr>
            <w:tcW w:w="1894" w:type="dxa"/>
            <w:vAlign w:val="top"/>
          </w:tcPr>
          <w:p w14:paraId="600FE486">
            <w:pPr>
              <w:rPr>
                <w:rFonts w:ascii="Arial"/>
                <w:sz w:val="21"/>
              </w:rPr>
            </w:pPr>
          </w:p>
        </w:tc>
      </w:tr>
      <w:tr w14:paraId="5A8EC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876" w:type="dxa"/>
            <w:vAlign w:val="top"/>
          </w:tcPr>
          <w:p w14:paraId="413ED28A">
            <w:pPr>
              <w:pStyle w:val="9"/>
              <w:spacing w:before="143" w:line="442" w:lineRule="exact"/>
              <w:ind w:left="366"/>
            </w:pPr>
            <w:r>
              <w:rPr>
                <w:position w:val="3"/>
              </w:rPr>
              <w:t>5</w:t>
            </w:r>
          </w:p>
        </w:tc>
        <w:tc>
          <w:tcPr>
            <w:tcW w:w="1137" w:type="dxa"/>
            <w:vAlign w:val="top"/>
          </w:tcPr>
          <w:p w14:paraId="30DA861A">
            <w:pPr>
              <w:rPr>
                <w:rFonts w:ascii="Arial"/>
                <w:sz w:val="21"/>
              </w:rPr>
            </w:pPr>
          </w:p>
        </w:tc>
        <w:tc>
          <w:tcPr>
            <w:tcW w:w="1877" w:type="dxa"/>
            <w:vAlign w:val="top"/>
          </w:tcPr>
          <w:p w14:paraId="3F95269C">
            <w:pPr>
              <w:rPr>
                <w:rFonts w:ascii="Arial"/>
                <w:sz w:val="21"/>
              </w:rPr>
            </w:pPr>
          </w:p>
        </w:tc>
        <w:tc>
          <w:tcPr>
            <w:tcW w:w="1754" w:type="dxa"/>
            <w:vAlign w:val="top"/>
          </w:tcPr>
          <w:p w14:paraId="2974A1FD">
            <w:pPr>
              <w:rPr>
                <w:rFonts w:ascii="Arial"/>
                <w:sz w:val="21"/>
              </w:rPr>
            </w:pPr>
          </w:p>
        </w:tc>
        <w:tc>
          <w:tcPr>
            <w:tcW w:w="1934" w:type="dxa"/>
            <w:vAlign w:val="top"/>
          </w:tcPr>
          <w:p w14:paraId="66452D2F">
            <w:pPr>
              <w:rPr>
                <w:rFonts w:ascii="Arial"/>
                <w:sz w:val="21"/>
              </w:rPr>
            </w:pPr>
          </w:p>
        </w:tc>
        <w:tc>
          <w:tcPr>
            <w:tcW w:w="1889" w:type="dxa"/>
            <w:vAlign w:val="top"/>
          </w:tcPr>
          <w:p w14:paraId="48247B53">
            <w:pPr>
              <w:rPr>
                <w:rFonts w:ascii="Arial"/>
                <w:sz w:val="21"/>
              </w:rPr>
            </w:pPr>
          </w:p>
        </w:tc>
        <w:tc>
          <w:tcPr>
            <w:tcW w:w="1740" w:type="dxa"/>
            <w:vAlign w:val="top"/>
          </w:tcPr>
          <w:p w14:paraId="3BF130BF">
            <w:pPr>
              <w:rPr>
                <w:rFonts w:ascii="Arial"/>
                <w:sz w:val="21"/>
              </w:rPr>
            </w:pPr>
          </w:p>
        </w:tc>
        <w:tc>
          <w:tcPr>
            <w:tcW w:w="1769" w:type="dxa"/>
            <w:vAlign w:val="top"/>
          </w:tcPr>
          <w:p w14:paraId="6F2862BC">
            <w:pPr>
              <w:rPr>
                <w:rFonts w:ascii="Arial"/>
                <w:sz w:val="21"/>
              </w:rPr>
            </w:pPr>
          </w:p>
        </w:tc>
        <w:tc>
          <w:tcPr>
            <w:tcW w:w="1894" w:type="dxa"/>
            <w:vAlign w:val="top"/>
          </w:tcPr>
          <w:p w14:paraId="7E37861E">
            <w:pPr>
              <w:rPr>
                <w:rFonts w:ascii="Arial"/>
                <w:sz w:val="21"/>
              </w:rPr>
            </w:pPr>
          </w:p>
        </w:tc>
      </w:tr>
      <w:tr w14:paraId="0E322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876" w:type="dxa"/>
            <w:vAlign w:val="top"/>
          </w:tcPr>
          <w:p w14:paraId="58BD954F">
            <w:pPr>
              <w:pStyle w:val="9"/>
              <w:spacing w:before="141" w:line="443" w:lineRule="exact"/>
              <w:ind w:left="369"/>
            </w:pPr>
            <w:r>
              <w:rPr>
                <w:position w:val="3"/>
              </w:rPr>
              <w:t>6</w:t>
            </w:r>
          </w:p>
        </w:tc>
        <w:tc>
          <w:tcPr>
            <w:tcW w:w="1137" w:type="dxa"/>
            <w:vAlign w:val="top"/>
          </w:tcPr>
          <w:p w14:paraId="2CF43821">
            <w:pPr>
              <w:rPr>
                <w:rFonts w:ascii="Arial"/>
                <w:sz w:val="21"/>
              </w:rPr>
            </w:pPr>
          </w:p>
        </w:tc>
        <w:tc>
          <w:tcPr>
            <w:tcW w:w="1877" w:type="dxa"/>
            <w:vAlign w:val="top"/>
          </w:tcPr>
          <w:p w14:paraId="6516634A">
            <w:pPr>
              <w:rPr>
                <w:rFonts w:ascii="Arial"/>
                <w:sz w:val="21"/>
              </w:rPr>
            </w:pPr>
          </w:p>
        </w:tc>
        <w:tc>
          <w:tcPr>
            <w:tcW w:w="1754" w:type="dxa"/>
            <w:vAlign w:val="top"/>
          </w:tcPr>
          <w:p w14:paraId="2E737686">
            <w:pPr>
              <w:rPr>
                <w:rFonts w:ascii="Arial"/>
                <w:sz w:val="21"/>
              </w:rPr>
            </w:pPr>
          </w:p>
        </w:tc>
        <w:tc>
          <w:tcPr>
            <w:tcW w:w="1934" w:type="dxa"/>
            <w:vAlign w:val="top"/>
          </w:tcPr>
          <w:p w14:paraId="21755551">
            <w:pPr>
              <w:rPr>
                <w:rFonts w:ascii="Arial"/>
                <w:sz w:val="21"/>
              </w:rPr>
            </w:pPr>
          </w:p>
        </w:tc>
        <w:tc>
          <w:tcPr>
            <w:tcW w:w="1889" w:type="dxa"/>
            <w:vAlign w:val="top"/>
          </w:tcPr>
          <w:p w14:paraId="4B0DAD49">
            <w:pPr>
              <w:rPr>
                <w:rFonts w:ascii="Arial"/>
                <w:sz w:val="21"/>
              </w:rPr>
            </w:pPr>
          </w:p>
        </w:tc>
        <w:tc>
          <w:tcPr>
            <w:tcW w:w="1740" w:type="dxa"/>
            <w:vAlign w:val="top"/>
          </w:tcPr>
          <w:p w14:paraId="72770ED7">
            <w:pPr>
              <w:rPr>
                <w:rFonts w:ascii="Arial"/>
                <w:sz w:val="21"/>
              </w:rPr>
            </w:pPr>
          </w:p>
        </w:tc>
        <w:tc>
          <w:tcPr>
            <w:tcW w:w="1769" w:type="dxa"/>
            <w:vAlign w:val="top"/>
          </w:tcPr>
          <w:p w14:paraId="2392BB99">
            <w:pPr>
              <w:rPr>
                <w:rFonts w:ascii="Arial"/>
                <w:sz w:val="21"/>
              </w:rPr>
            </w:pPr>
          </w:p>
        </w:tc>
        <w:tc>
          <w:tcPr>
            <w:tcW w:w="1894" w:type="dxa"/>
            <w:vAlign w:val="top"/>
          </w:tcPr>
          <w:p w14:paraId="40D8AD1E">
            <w:pPr>
              <w:rPr>
                <w:rFonts w:ascii="Arial"/>
                <w:sz w:val="21"/>
              </w:rPr>
            </w:pPr>
          </w:p>
        </w:tc>
      </w:tr>
    </w:tbl>
    <w:p w14:paraId="5F8E7E0B">
      <w:pPr>
        <w:pStyle w:val="2"/>
        <w:spacing w:before="101" w:line="410" w:lineRule="exact"/>
        <w:rPr>
          <w:spacing w:val="4"/>
          <w:position w:val="1"/>
        </w:rPr>
      </w:pPr>
    </w:p>
    <w:p w14:paraId="40308B21">
      <w:pPr>
        <w:pStyle w:val="2"/>
        <w:spacing w:before="101" w:line="410" w:lineRule="exact"/>
        <w:rPr>
          <w:spacing w:val="4"/>
          <w:position w:val="1"/>
        </w:rPr>
      </w:pPr>
    </w:p>
    <w:p w14:paraId="4A04A849">
      <w:pPr>
        <w:pStyle w:val="2"/>
        <w:spacing w:before="101" w:line="410" w:lineRule="exact"/>
        <w:rPr>
          <w:spacing w:val="4"/>
          <w:position w:val="1"/>
        </w:rPr>
      </w:pPr>
    </w:p>
    <w:p w14:paraId="5B82A54E">
      <w:pPr>
        <w:pStyle w:val="2"/>
        <w:spacing w:before="101" w:line="410" w:lineRule="exact"/>
        <w:rPr>
          <w:spacing w:val="4"/>
          <w:position w:val="1"/>
        </w:rPr>
      </w:pPr>
    </w:p>
    <w:p w14:paraId="22BF2C6A">
      <w:pPr>
        <w:pStyle w:val="2"/>
        <w:spacing w:before="101" w:line="410" w:lineRule="exact"/>
        <w:rPr>
          <w:spacing w:val="4"/>
          <w:position w:val="1"/>
        </w:rPr>
      </w:pPr>
      <w:r>
        <w:rPr>
          <w:spacing w:val="4"/>
          <w:position w:val="1"/>
        </w:rPr>
        <w:t>附件2：</w:t>
      </w:r>
    </w:p>
    <w:p w14:paraId="0C1C4973">
      <w:pPr>
        <w:pStyle w:val="2"/>
        <w:spacing w:before="101" w:line="410" w:lineRule="exact"/>
        <w:jc w:val="center"/>
      </w:pPr>
      <w:r>
        <w:rPr>
          <w:spacing w:val="4"/>
          <w:position w:val="1"/>
        </w:rPr>
        <w:t>贵州铜仁数据职业学院数字技术学院</w:t>
      </w:r>
      <w:r>
        <w:rPr>
          <w:rFonts w:hint="eastAsia"/>
          <w:spacing w:val="4"/>
          <w:position w:val="1"/>
          <w:lang w:eastAsia="zh-CN"/>
        </w:rPr>
        <w:t>2026</w:t>
      </w:r>
      <w:r>
        <w:rPr>
          <w:spacing w:val="-40"/>
          <w:position w:val="1"/>
        </w:rPr>
        <w:t xml:space="preserve"> </w:t>
      </w:r>
      <w:r>
        <w:rPr>
          <w:spacing w:val="4"/>
          <w:position w:val="1"/>
        </w:rPr>
        <w:t>年技能竞赛（</w:t>
      </w:r>
      <w:r>
        <w:rPr>
          <w:position w:val="1"/>
        </w:rPr>
        <w:t>XXX</w:t>
      </w:r>
      <w:r>
        <w:rPr>
          <w:spacing w:val="-57"/>
          <w:position w:val="1"/>
        </w:rPr>
        <w:t xml:space="preserve"> </w:t>
      </w:r>
      <w:r>
        <w:rPr>
          <w:spacing w:val="4"/>
          <w:position w:val="1"/>
        </w:rPr>
        <w:t>项</w:t>
      </w:r>
      <w:r>
        <w:rPr>
          <w:spacing w:val="-71"/>
          <w:position w:val="1"/>
        </w:rPr>
        <w:t xml:space="preserve"> </w:t>
      </w:r>
      <w:r>
        <w:rPr>
          <w:spacing w:val="4"/>
          <w:position w:val="1"/>
        </w:rPr>
        <w:t>目</w:t>
      </w:r>
      <w:r>
        <w:rPr>
          <w:spacing w:val="-65"/>
          <w:position w:val="1"/>
        </w:rPr>
        <w:t xml:space="preserve"> </w:t>
      </w:r>
      <w:r>
        <w:rPr>
          <w:spacing w:val="4"/>
          <w:position w:val="1"/>
        </w:rPr>
        <w:t>）竞赛成绩表</w:t>
      </w:r>
    </w:p>
    <w:p w14:paraId="4C271453">
      <w:pPr>
        <w:pStyle w:val="2"/>
        <w:spacing w:before="256" w:line="223" w:lineRule="auto"/>
        <w:ind w:left="1038"/>
      </w:pPr>
      <w:r>
        <w:rPr>
          <w:spacing w:val="-6"/>
        </w:rPr>
        <w:t>院（</w:t>
      </w:r>
      <w:r>
        <w:rPr>
          <w:rFonts w:ascii="宋体" w:hAnsi="宋体" w:eastAsia="宋体" w:cs="宋体"/>
          <w:spacing w:val="-6"/>
        </w:rPr>
        <w:t>部</w:t>
      </w:r>
      <w:r>
        <w:t>）：</w:t>
      </w:r>
      <w:r>
        <w:rPr>
          <w:spacing w:val="1"/>
        </w:rPr>
        <w:t xml:space="preserve">                        </w:t>
      </w:r>
      <w:r>
        <w:rPr>
          <w:rFonts w:ascii="宋体" w:hAnsi="宋体" w:eastAsia="宋体" w:cs="宋体"/>
          <w:spacing w:val="-6"/>
        </w:rPr>
        <w:t>填表</w:t>
      </w:r>
      <w:r>
        <w:rPr>
          <w:spacing w:val="-6"/>
        </w:rPr>
        <w:t>人：</w:t>
      </w:r>
      <w:r>
        <w:rPr>
          <w:spacing w:val="9"/>
        </w:rPr>
        <w:t xml:space="preserve">            </w:t>
      </w:r>
      <w:r>
        <w:rPr>
          <w:spacing w:val="-6"/>
        </w:rPr>
        <w:t>日</w:t>
      </w:r>
      <w:r>
        <w:rPr>
          <w:rFonts w:ascii="宋体" w:hAnsi="宋体" w:eastAsia="宋体" w:cs="宋体"/>
          <w:spacing w:val="-6"/>
        </w:rPr>
        <w:t>期</w:t>
      </w:r>
      <w:r>
        <w:rPr>
          <w:spacing w:val="-6"/>
        </w:rPr>
        <w:t>：</w:t>
      </w:r>
    </w:p>
    <w:p w14:paraId="06AB2CD8">
      <w:pPr>
        <w:spacing w:line="116" w:lineRule="auto"/>
        <w:rPr>
          <w:rFonts w:ascii="Arial"/>
          <w:sz w:val="2"/>
        </w:rPr>
      </w:pPr>
    </w:p>
    <w:tbl>
      <w:tblPr>
        <w:tblStyle w:val="8"/>
        <w:tblW w:w="1194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1"/>
        <w:gridCol w:w="1637"/>
        <w:gridCol w:w="3258"/>
        <w:gridCol w:w="3164"/>
        <w:gridCol w:w="2951"/>
      </w:tblGrid>
      <w:tr w14:paraId="4D564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931" w:type="dxa"/>
            <w:vAlign w:val="top"/>
          </w:tcPr>
          <w:p w14:paraId="6761CEF3">
            <w:pPr>
              <w:pStyle w:val="9"/>
              <w:spacing w:before="142" w:line="412" w:lineRule="exact"/>
              <w:ind w:left="163"/>
            </w:pPr>
            <w:r>
              <w:rPr>
                <w:b/>
                <w:bCs/>
                <w:spacing w:val="-5"/>
                <w:position w:val="1"/>
              </w:rPr>
              <w:t>序号</w:t>
            </w:r>
          </w:p>
        </w:tc>
        <w:tc>
          <w:tcPr>
            <w:tcW w:w="1637" w:type="dxa"/>
            <w:vAlign w:val="top"/>
          </w:tcPr>
          <w:p w14:paraId="71F96CEA">
            <w:pPr>
              <w:pStyle w:val="9"/>
              <w:spacing w:before="142" w:line="413" w:lineRule="exact"/>
              <w:ind w:left="300"/>
            </w:pPr>
            <w:r>
              <w:rPr>
                <w:b/>
                <w:bCs/>
                <w:spacing w:val="-11"/>
                <w:position w:val="1"/>
              </w:rPr>
              <w:t>姓名/团队</w:t>
            </w:r>
          </w:p>
        </w:tc>
        <w:tc>
          <w:tcPr>
            <w:tcW w:w="3258" w:type="dxa"/>
            <w:vAlign w:val="top"/>
          </w:tcPr>
          <w:p w14:paraId="7D1DB770">
            <w:pPr>
              <w:pStyle w:val="9"/>
              <w:spacing w:before="142" w:line="413" w:lineRule="exact"/>
              <w:ind w:left="1171"/>
            </w:pPr>
            <w:r>
              <w:rPr>
                <w:b/>
                <w:bCs/>
                <w:spacing w:val="-5"/>
                <w:position w:val="1"/>
              </w:rPr>
              <w:t>班级</w:t>
            </w:r>
          </w:p>
        </w:tc>
        <w:tc>
          <w:tcPr>
            <w:tcW w:w="3164" w:type="dxa"/>
            <w:vAlign w:val="top"/>
          </w:tcPr>
          <w:p w14:paraId="5DB431D5">
            <w:pPr>
              <w:pStyle w:val="9"/>
              <w:spacing w:before="142" w:line="413" w:lineRule="exact"/>
              <w:ind w:left="1140"/>
            </w:pPr>
            <w:r>
              <w:rPr>
                <w:b/>
                <w:bCs/>
                <w:spacing w:val="-7"/>
                <w:position w:val="1"/>
              </w:rPr>
              <w:t>总成绩</w:t>
            </w:r>
          </w:p>
        </w:tc>
        <w:tc>
          <w:tcPr>
            <w:tcW w:w="2951" w:type="dxa"/>
            <w:vAlign w:val="top"/>
          </w:tcPr>
          <w:p w14:paraId="78E9D53C">
            <w:pPr>
              <w:pStyle w:val="9"/>
              <w:spacing w:before="142" w:line="413" w:lineRule="exact"/>
              <w:ind w:left="1171"/>
            </w:pPr>
            <w:r>
              <w:rPr>
                <w:b/>
                <w:bCs/>
                <w:spacing w:val="-5"/>
                <w:position w:val="1"/>
              </w:rPr>
              <w:t>名次</w:t>
            </w:r>
          </w:p>
        </w:tc>
      </w:tr>
      <w:tr w14:paraId="396395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55962122">
            <w:pPr>
              <w:pStyle w:val="9"/>
              <w:spacing w:before="139" w:line="445" w:lineRule="exact"/>
              <w:ind w:left="400"/>
            </w:pPr>
            <w:r>
              <w:rPr>
                <w:position w:val="3"/>
              </w:rPr>
              <w:t>1</w:t>
            </w:r>
          </w:p>
        </w:tc>
        <w:tc>
          <w:tcPr>
            <w:tcW w:w="1637" w:type="dxa"/>
            <w:vAlign w:val="top"/>
          </w:tcPr>
          <w:p w14:paraId="7EC9D85B">
            <w:pPr>
              <w:rPr>
                <w:rFonts w:ascii="Arial"/>
                <w:sz w:val="21"/>
              </w:rPr>
            </w:pPr>
          </w:p>
        </w:tc>
        <w:tc>
          <w:tcPr>
            <w:tcW w:w="3258" w:type="dxa"/>
            <w:vAlign w:val="top"/>
          </w:tcPr>
          <w:p w14:paraId="74AF4647">
            <w:pPr>
              <w:rPr>
                <w:rFonts w:ascii="Arial"/>
                <w:sz w:val="21"/>
              </w:rPr>
            </w:pPr>
          </w:p>
        </w:tc>
        <w:tc>
          <w:tcPr>
            <w:tcW w:w="3164" w:type="dxa"/>
            <w:vAlign w:val="top"/>
          </w:tcPr>
          <w:p w14:paraId="47A1889A">
            <w:pPr>
              <w:rPr>
                <w:rFonts w:ascii="Arial"/>
                <w:sz w:val="21"/>
              </w:rPr>
            </w:pPr>
          </w:p>
        </w:tc>
        <w:tc>
          <w:tcPr>
            <w:tcW w:w="2951" w:type="dxa"/>
            <w:vAlign w:val="top"/>
          </w:tcPr>
          <w:p w14:paraId="63B435E4">
            <w:pPr>
              <w:pStyle w:val="9"/>
              <w:spacing w:before="139" w:line="411" w:lineRule="exact"/>
              <w:ind w:left="1024"/>
            </w:pPr>
            <w:r>
              <w:rPr>
                <w:spacing w:val="-1"/>
                <w:position w:val="1"/>
              </w:rPr>
              <w:t>第一名</w:t>
            </w:r>
          </w:p>
        </w:tc>
      </w:tr>
      <w:tr w14:paraId="1EDD8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0D2CD896">
            <w:pPr>
              <w:pStyle w:val="9"/>
              <w:spacing w:before="139" w:line="445" w:lineRule="exact"/>
              <w:ind w:left="396"/>
            </w:pPr>
            <w:r>
              <w:rPr>
                <w:position w:val="3"/>
              </w:rPr>
              <w:t>2</w:t>
            </w:r>
          </w:p>
        </w:tc>
        <w:tc>
          <w:tcPr>
            <w:tcW w:w="1637" w:type="dxa"/>
            <w:vAlign w:val="top"/>
          </w:tcPr>
          <w:p w14:paraId="5298C268">
            <w:pPr>
              <w:rPr>
                <w:rFonts w:ascii="Arial"/>
                <w:sz w:val="21"/>
              </w:rPr>
            </w:pPr>
          </w:p>
        </w:tc>
        <w:tc>
          <w:tcPr>
            <w:tcW w:w="3258" w:type="dxa"/>
            <w:vAlign w:val="top"/>
          </w:tcPr>
          <w:p w14:paraId="58CC495A">
            <w:pPr>
              <w:rPr>
                <w:rFonts w:ascii="Arial"/>
                <w:sz w:val="21"/>
              </w:rPr>
            </w:pPr>
          </w:p>
        </w:tc>
        <w:tc>
          <w:tcPr>
            <w:tcW w:w="3164" w:type="dxa"/>
            <w:vAlign w:val="top"/>
          </w:tcPr>
          <w:p w14:paraId="72E319EC">
            <w:pPr>
              <w:rPr>
                <w:rFonts w:ascii="Arial"/>
                <w:sz w:val="21"/>
              </w:rPr>
            </w:pPr>
          </w:p>
        </w:tc>
        <w:tc>
          <w:tcPr>
            <w:tcW w:w="2951" w:type="dxa"/>
            <w:vAlign w:val="top"/>
          </w:tcPr>
          <w:p w14:paraId="6E45AF59">
            <w:pPr>
              <w:pStyle w:val="9"/>
              <w:spacing w:before="139" w:line="411" w:lineRule="exact"/>
              <w:ind w:left="1024"/>
            </w:pPr>
            <w:r>
              <w:rPr>
                <w:spacing w:val="3"/>
                <w:position w:val="1"/>
              </w:rPr>
              <w:t>第二名</w:t>
            </w:r>
          </w:p>
        </w:tc>
      </w:tr>
      <w:tr w14:paraId="03D93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095AA86E">
            <w:pPr>
              <w:pStyle w:val="9"/>
              <w:spacing w:before="140" w:line="443" w:lineRule="exact"/>
              <w:ind w:left="392"/>
            </w:pPr>
            <w:r>
              <w:rPr>
                <w:position w:val="3"/>
              </w:rPr>
              <w:t>3</w:t>
            </w:r>
          </w:p>
        </w:tc>
        <w:tc>
          <w:tcPr>
            <w:tcW w:w="1637" w:type="dxa"/>
            <w:vAlign w:val="top"/>
          </w:tcPr>
          <w:p w14:paraId="506071E3">
            <w:pPr>
              <w:rPr>
                <w:rFonts w:ascii="Arial"/>
                <w:sz w:val="21"/>
              </w:rPr>
            </w:pPr>
          </w:p>
        </w:tc>
        <w:tc>
          <w:tcPr>
            <w:tcW w:w="3258" w:type="dxa"/>
            <w:vAlign w:val="top"/>
          </w:tcPr>
          <w:p w14:paraId="1A2335AA">
            <w:pPr>
              <w:rPr>
                <w:rFonts w:ascii="Arial"/>
                <w:sz w:val="21"/>
              </w:rPr>
            </w:pPr>
          </w:p>
        </w:tc>
        <w:tc>
          <w:tcPr>
            <w:tcW w:w="3164" w:type="dxa"/>
            <w:vAlign w:val="top"/>
          </w:tcPr>
          <w:p w14:paraId="4E8F1986">
            <w:pPr>
              <w:rPr>
                <w:rFonts w:ascii="Arial"/>
                <w:sz w:val="21"/>
              </w:rPr>
            </w:pPr>
          </w:p>
        </w:tc>
        <w:tc>
          <w:tcPr>
            <w:tcW w:w="2951" w:type="dxa"/>
            <w:vAlign w:val="top"/>
          </w:tcPr>
          <w:p w14:paraId="1E808910">
            <w:pPr>
              <w:pStyle w:val="9"/>
              <w:spacing w:before="140" w:line="412" w:lineRule="exact"/>
              <w:ind w:left="1024"/>
            </w:pPr>
            <w:r>
              <w:rPr>
                <w:spacing w:val="-1"/>
                <w:position w:val="1"/>
              </w:rPr>
              <w:t>第三名</w:t>
            </w:r>
          </w:p>
        </w:tc>
      </w:tr>
      <w:tr w14:paraId="2B0F20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47B6F2BA">
            <w:pPr>
              <w:pStyle w:val="9"/>
              <w:spacing w:before="142" w:line="445" w:lineRule="exact"/>
              <w:ind w:left="388"/>
            </w:pPr>
            <w:r>
              <w:rPr>
                <w:spacing w:val="4"/>
                <w:position w:val="3"/>
              </w:rPr>
              <w:t>4</w:t>
            </w:r>
          </w:p>
        </w:tc>
        <w:tc>
          <w:tcPr>
            <w:tcW w:w="1637" w:type="dxa"/>
            <w:vAlign w:val="top"/>
          </w:tcPr>
          <w:p w14:paraId="7750437A">
            <w:pPr>
              <w:rPr>
                <w:rFonts w:ascii="Arial"/>
                <w:sz w:val="21"/>
              </w:rPr>
            </w:pPr>
          </w:p>
        </w:tc>
        <w:tc>
          <w:tcPr>
            <w:tcW w:w="3258" w:type="dxa"/>
            <w:vAlign w:val="top"/>
          </w:tcPr>
          <w:p w14:paraId="3715CC68">
            <w:pPr>
              <w:rPr>
                <w:rFonts w:ascii="Arial"/>
                <w:sz w:val="21"/>
              </w:rPr>
            </w:pPr>
          </w:p>
        </w:tc>
        <w:tc>
          <w:tcPr>
            <w:tcW w:w="3164" w:type="dxa"/>
            <w:vAlign w:val="top"/>
          </w:tcPr>
          <w:p w14:paraId="38C4665B">
            <w:pPr>
              <w:rPr>
                <w:rFonts w:ascii="Arial"/>
                <w:sz w:val="21"/>
              </w:rPr>
            </w:pPr>
          </w:p>
        </w:tc>
        <w:tc>
          <w:tcPr>
            <w:tcW w:w="2951" w:type="dxa"/>
            <w:vAlign w:val="top"/>
          </w:tcPr>
          <w:p w14:paraId="1C4E7A53">
            <w:pPr>
              <w:rPr>
                <w:rFonts w:ascii="Arial"/>
                <w:sz w:val="21"/>
              </w:rPr>
            </w:pPr>
          </w:p>
        </w:tc>
      </w:tr>
      <w:tr w14:paraId="6D05A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931" w:type="dxa"/>
            <w:vAlign w:val="top"/>
          </w:tcPr>
          <w:p w14:paraId="18667B62">
            <w:pPr>
              <w:pStyle w:val="9"/>
              <w:spacing w:before="142" w:line="442" w:lineRule="exact"/>
              <w:ind w:left="395"/>
            </w:pPr>
            <w:r>
              <w:rPr>
                <w:position w:val="3"/>
              </w:rPr>
              <w:t>5</w:t>
            </w:r>
          </w:p>
        </w:tc>
        <w:tc>
          <w:tcPr>
            <w:tcW w:w="1637" w:type="dxa"/>
            <w:vAlign w:val="top"/>
          </w:tcPr>
          <w:p w14:paraId="7152FBB0">
            <w:pPr>
              <w:rPr>
                <w:rFonts w:ascii="Arial"/>
                <w:sz w:val="21"/>
              </w:rPr>
            </w:pPr>
          </w:p>
        </w:tc>
        <w:tc>
          <w:tcPr>
            <w:tcW w:w="3258" w:type="dxa"/>
            <w:vAlign w:val="top"/>
          </w:tcPr>
          <w:p w14:paraId="3E6619FF">
            <w:pPr>
              <w:rPr>
                <w:rFonts w:ascii="Arial"/>
                <w:sz w:val="21"/>
              </w:rPr>
            </w:pPr>
          </w:p>
        </w:tc>
        <w:tc>
          <w:tcPr>
            <w:tcW w:w="3164" w:type="dxa"/>
            <w:vAlign w:val="top"/>
          </w:tcPr>
          <w:p w14:paraId="6B1DEC87">
            <w:pPr>
              <w:rPr>
                <w:rFonts w:ascii="Arial"/>
                <w:sz w:val="21"/>
              </w:rPr>
            </w:pPr>
          </w:p>
        </w:tc>
        <w:tc>
          <w:tcPr>
            <w:tcW w:w="2951" w:type="dxa"/>
            <w:vAlign w:val="top"/>
          </w:tcPr>
          <w:p w14:paraId="310175FA">
            <w:pPr>
              <w:rPr>
                <w:rFonts w:ascii="Arial"/>
                <w:sz w:val="21"/>
              </w:rPr>
            </w:pPr>
          </w:p>
        </w:tc>
      </w:tr>
      <w:tr w14:paraId="597F7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931" w:type="dxa"/>
            <w:vAlign w:val="top"/>
          </w:tcPr>
          <w:p w14:paraId="55A17962">
            <w:pPr>
              <w:pStyle w:val="9"/>
              <w:spacing w:before="142" w:line="443" w:lineRule="exact"/>
              <w:ind w:left="398"/>
            </w:pPr>
            <w:r>
              <w:rPr>
                <w:position w:val="3"/>
              </w:rPr>
              <w:t>6</w:t>
            </w:r>
          </w:p>
        </w:tc>
        <w:tc>
          <w:tcPr>
            <w:tcW w:w="1637" w:type="dxa"/>
            <w:vAlign w:val="top"/>
          </w:tcPr>
          <w:p w14:paraId="0A343CDB">
            <w:pPr>
              <w:rPr>
                <w:rFonts w:ascii="Arial"/>
                <w:sz w:val="21"/>
              </w:rPr>
            </w:pPr>
          </w:p>
        </w:tc>
        <w:tc>
          <w:tcPr>
            <w:tcW w:w="3258" w:type="dxa"/>
            <w:vAlign w:val="top"/>
          </w:tcPr>
          <w:p w14:paraId="71B1F0BA">
            <w:pPr>
              <w:rPr>
                <w:rFonts w:ascii="Arial"/>
                <w:sz w:val="21"/>
              </w:rPr>
            </w:pPr>
          </w:p>
        </w:tc>
        <w:tc>
          <w:tcPr>
            <w:tcW w:w="3164" w:type="dxa"/>
            <w:vAlign w:val="top"/>
          </w:tcPr>
          <w:p w14:paraId="568B9B1D">
            <w:pPr>
              <w:rPr>
                <w:rFonts w:ascii="Arial"/>
                <w:sz w:val="21"/>
              </w:rPr>
            </w:pPr>
          </w:p>
        </w:tc>
        <w:tc>
          <w:tcPr>
            <w:tcW w:w="2951" w:type="dxa"/>
            <w:vAlign w:val="top"/>
          </w:tcPr>
          <w:p w14:paraId="7D74C6F8">
            <w:pPr>
              <w:rPr>
                <w:rFonts w:ascii="Arial"/>
                <w:sz w:val="21"/>
              </w:rPr>
            </w:pPr>
          </w:p>
        </w:tc>
      </w:tr>
    </w:tbl>
    <w:p w14:paraId="4E68F9F6">
      <w:pPr>
        <w:rPr>
          <w:rFonts w:ascii="Arial" w:hAnsi="Arial" w:eastAsia="Arial" w:cs="Arial"/>
          <w:sz w:val="21"/>
          <w:szCs w:val="21"/>
        </w:rPr>
        <w:sectPr>
          <w:type w:val="continuous"/>
          <w:pgSz w:w="16839" w:h="11906" w:orient="landscape"/>
          <w:pgMar w:top="1536" w:right="1491" w:bottom="1536" w:left="1491" w:header="0" w:footer="0" w:gutter="0"/>
          <w:cols w:space="720" w:num="1"/>
        </w:sectPr>
      </w:pPr>
    </w:p>
    <w:p w14:paraId="2BB6CE76">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3</w:t>
      </w:r>
    </w:p>
    <w:p w14:paraId="3F2FAD8A">
      <w:pPr>
        <w:keepNext w:val="0"/>
        <w:keepLines w:val="0"/>
        <w:pageBreakBefore w:val="0"/>
        <w:widowControl w:val="0"/>
        <w:kinsoku/>
        <w:wordWrap/>
        <w:overflowPunct/>
        <w:topLinePunct w:val="0"/>
        <w:autoSpaceDE/>
        <w:autoSpaceDN/>
        <w:bidi w:val="0"/>
        <w:adjustRightInd w:val="0"/>
        <w:snapToGrid w:val="0"/>
        <w:spacing w:line="540" w:lineRule="exact"/>
        <w:rPr>
          <w:rFonts w:ascii="仿宋" w:hAnsi="仿宋" w:eastAsia="仿宋" w:cs="仿宋"/>
          <w:sz w:val="32"/>
          <w:szCs w:val="32"/>
        </w:rPr>
      </w:pPr>
    </w:p>
    <w:p w14:paraId="3C2480BF">
      <w:pPr>
        <w:jc w:val="center"/>
        <w:rPr>
          <w:rFonts w:hint="eastAsia" w:ascii="黑体" w:hAnsi="黑体" w:eastAsia="黑体" w:cs="黑体"/>
          <w:sz w:val="44"/>
          <w:szCs w:val="44"/>
        </w:rPr>
      </w:pPr>
      <w:bookmarkStart w:id="0" w:name="OLE_LINK2"/>
      <w:r>
        <w:rPr>
          <w:rFonts w:hint="eastAsia" w:ascii="黑体" w:hAnsi="黑体" w:eastAsia="黑体" w:cs="黑体"/>
          <w:sz w:val="44"/>
          <w:szCs w:val="44"/>
        </w:rPr>
        <w:t>贵州铜仁数据职业学院第</w:t>
      </w:r>
      <w:r>
        <w:rPr>
          <w:rFonts w:hint="eastAsia" w:ascii="黑体" w:hAnsi="黑体" w:eastAsia="黑体" w:cs="黑体"/>
          <w:sz w:val="44"/>
          <w:szCs w:val="44"/>
          <w:lang w:val="en-US" w:eastAsia="zh-CN"/>
        </w:rPr>
        <w:t>四</w:t>
      </w:r>
      <w:r>
        <w:rPr>
          <w:rFonts w:hint="eastAsia" w:ascii="黑体" w:hAnsi="黑体" w:eastAsia="黑体" w:cs="黑体"/>
          <w:sz w:val="44"/>
          <w:szCs w:val="44"/>
        </w:rPr>
        <w:t>届职业技能大赛</w:t>
      </w:r>
      <w:bookmarkStart w:id="1" w:name="OLE_LINK1"/>
    </w:p>
    <w:p w14:paraId="2C0680EA">
      <w:pPr>
        <w:jc w:val="center"/>
        <w:rPr>
          <w:rFonts w:hint="eastAsia" w:ascii="黑体" w:hAnsi="黑体" w:eastAsia="黑体" w:cs="黑体"/>
          <w:sz w:val="44"/>
          <w:szCs w:val="44"/>
          <w:lang w:eastAsia="zh-CN"/>
        </w:rPr>
      </w:pPr>
      <w:bookmarkStart w:id="2" w:name="OLE_LINK3"/>
      <w:r>
        <w:rPr>
          <w:rFonts w:hint="eastAsia" w:ascii="黑体" w:hAnsi="黑体" w:eastAsia="黑体" w:cs="黑体"/>
          <w:sz w:val="44"/>
          <w:szCs w:val="44"/>
          <w:lang w:eastAsia="zh-CN"/>
        </w:rPr>
        <w:t>多轴无人机竞速赛</w:t>
      </w:r>
      <w:bookmarkEnd w:id="2"/>
      <w:r>
        <w:rPr>
          <w:rFonts w:hint="eastAsia" w:ascii="黑体" w:hAnsi="黑体" w:eastAsia="黑体" w:cs="黑体"/>
          <w:sz w:val="44"/>
          <w:szCs w:val="44"/>
          <w:lang w:eastAsia="zh-CN"/>
        </w:rPr>
        <w:t>办法与规则</w:t>
      </w:r>
    </w:p>
    <w:bookmarkEnd w:id="0"/>
    <w:bookmarkEnd w:id="1"/>
    <w:p w14:paraId="17BB9BC6">
      <w:pPr>
        <w:keepNext w:val="0"/>
        <w:keepLines w:val="0"/>
        <w:pageBreakBefore w:val="0"/>
        <w:widowControl w:val="0"/>
        <w:kinsoku/>
        <w:wordWrap/>
        <w:overflowPunct/>
        <w:topLinePunct w:val="0"/>
        <w:autoSpaceDE/>
        <w:autoSpaceDN/>
        <w:bidi w:val="0"/>
        <w:adjustRightInd w:val="0"/>
        <w:snapToGrid w:val="0"/>
        <w:spacing w:line="540" w:lineRule="exact"/>
        <w:rPr>
          <w:rFonts w:ascii="仿宋" w:hAnsi="仿宋" w:eastAsia="仿宋" w:cs="仿宋"/>
          <w:sz w:val="32"/>
          <w:szCs w:val="32"/>
          <w:lang w:eastAsia="zh-CN"/>
        </w:rPr>
      </w:pPr>
    </w:p>
    <w:p w14:paraId="060D7FA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rPr>
          <w:rFonts w:ascii="黑体" w:hAnsi="黑体" w:eastAsia="黑体" w:cs="黑体"/>
          <w:sz w:val="32"/>
          <w:szCs w:val="32"/>
          <w:lang w:eastAsia="zh-CN"/>
        </w:rPr>
      </w:pPr>
      <w:r>
        <w:rPr>
          <w:rFonts w:hint="eastAsia" w:ascii="黑体" w:hAnsi="黑体" w:eastAsia="黑体" w:cs="黑体"/>
          <w:sz w:val="32"/>
          <w:szCs w:val="32"/>
          <w:lang w:eastAsia="zh-CN"/>
        </w:rPr>
        <w:t>一、竞赛项目</w:t>
      </w:r>
    </w:p>
    <w:p w14:paraId="2692F90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rPr>
          <w:rFonts w:hint="eastAsia"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本次竞赛为4轴无人机竞速赛，选手以第一视角、使用无线电遥控设备操纵无人机，按照赛道图示规定路线依次穿越赛道障碍完成竞赛飞行，以完成全程赛道的总用时评定最终成绩。赛道设置复合型障碍，模拟国防侦察、物资投送等实战场景，包含屏风避障、定点识别、图像传送等专项任务，重点考查选手精准操控能力、临场快速反应能力与团队协作配合能力。</w:t>
      </w:r>
    </w:p>
    <w:p w14:paraId="2DB6BB0C">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rPr>
          <w:rFonts w:ascii="黑体" w:hAnsi="黑体" w:eastAsia="黑体" w:cs="黑体"/>
          <w:sz w:val="32"/>
          <w:szCs w:val="32"/>
          <w:lang w:eastAsia="zh-CN"/>
        </w:rPr>
      </w:pPr>
      <w:r>
        <w:rPr>
          <w:rFonts w:hint="eastAsia" w:ascii="黑体" w:hAnsi="黑体" w:eastAsia="黑体" w:cs="黑体"/>
          <w:sz w:val="32"/>
          <w:szCs w:val="32"/>
          <w:lang w:eastAsia="zh-CN"/>
        </w:rPr>
        <w:t>二、器材要求</w:t>
      </w:r>
    </w:p>
    <w:p w14:paraId="45AA6A3C">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rPr>
          <w:rFonts w:hint="default" w:ascii="楷体" w:hAnsi="楷体" w:eastAsia="楷体" w:cs="楷体"/>
          <w:sz w:val="32"/>
          <w:szCs w:val="32"/>
          <w:lang w:val="en-US" w:eastAsia="zh-CN"/>
        </w:rPr>
      </w:pPr>
      <w:r>
        <w:rPr>
          <w:rFonts w:hint="eastAsia" w:ascii="仿宋_GB2312" w:hAnsi="仿宋_GB2312" w:eastAsia="仿宋_GB2312" w:cs="仿宋_GB2312"/>
          <w:snapToGrid/>
          <w:color w:val="1F2329"/>
          <w:sz w:val="32"/>
          <w:szCs w:val="32"/>
          <w:lang w:eastAsia="zh-CN"/>
        </w:rPr>
        <w:t>参赛无人机及配套设备须严格符合参数及规范要求，赛前由</w:t>
      </w:r>
      <w:r>
        <w:rPr>
          <w:rFonts w:hint="eastAsia" w:ascii="仿宋_GB2312" w:hAnsi="仿宋_GB2312" w:eastAsia="仿宋_GB2312" w:cs="仿宋_GB2312"/>
          <w:snapToGrid/>
          <w:color w:val="1F2329"/>
          <w:sz w:val="32"/>
          <w:szCs w:val="32"/>
          <w:lang w:val="en-US" w:eastAsia="zh-CN"/>
        </w:rPr>
        <w:t>学校</w:t>
      </w:r>
      <w:r>
        <w:rPr>
          <w:rFonts w:hint="eastAsia" w:ascii="仿宋_GB2312" w:hAnsi="仿宋_GB2312" w:eastAsia="仿宋_GB2312" w:cs="仿宋_GB2312"/>
          <w:snapToGrid/>
          <w:color w:val="1F2329"/>
          <w:sz w:val="32"/>
          <w:szCs w:val="32"/>
          <w:lang w:eastAsia="zh-CN"/>
        </w:rPr>
        <w:t>统一进行技术检录，不符合要求的器材一律不得参与竞赛。</w:t>
      </w:r>
    </w:p>
    <w:p w14:paraId="5CC7D450">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rPr>
          <w:rFonts w:ascii="仿宋" w:hAnsi="仿宋" w:eastAsia="仿宋" w:cs="仿宋"/>
          <w:sz w:val="32"/>
          <w:szCs w:val="32"/>
          <w:lang w:eastAsia="zh-CN"/>
        </w:rPr>
      </w:pPr>
      <w:r>
        <w:rPr>
          <w:rFonts w:hint="eastAsia" w:ascii="黑体" w:hAnsi="黑体" w:eastAsia="黑体" w:cs="黑体"/>
          <w:sz w:val="32"/>
          <w:szCs w:val="32"/>
          <w:lang w:eastAsia="zh-CN"/>
        </w:rPr>
        <w:t>三、赛道设置</w:t>
      </w:r>
    </w:p>
    <w:p w14:paraId="705654AE">
      <w:pPr>
        <w:keepNext w:val="0"/>
        <w:keepLines w:val="0"/>
        <w:pageBreakBefore w:val="0"/>
        <w:widowControl w:val="0"/>
        <w:kinsoku/>
        <w:wordWrap/>
        <w:overflowPunct/>
        <w:topLinePunct w:val="0"/>
        <w:autoSpaceDE/>
        <w:autoSpaceDN/>
        <w:bidi w:val="0"/>
        <w:adjustRightInd w:val="0"/>
        <w:snapToGrid w:val="0"/>
        <w:spacing w:line="540" w:lineRule="exact"/>
        <w:ind w:firstLine="428" w:firstLineChars="134"/>
        <w:jc w:val="both"/>
        <w:rPr>
          <w:rFonts w:ascii="仿宋_GB2312" w:hAnsi="仿宋_GB2312" w:eastAsia="仿宋_GB2312" w:cs="仿宋_GB2312"/>
          <w:snapToGrid/>
          <w:color w:val="1F2329"/>
          <w:sz w:val="32"/>
          <w:szCs w:val="32"/>
          <w:lang w:eastAsia="zh-CN"/>
        </w:rPr>
      </w:pPr>
      <w:r>
        <w:rPr>
          <w:rFonts w:hint="eastAsia" w:ascii="楷体" w:hAnsi="楷体" w:eastAsia="楷体" w:cs="楷体"/>
          <w:sz w:val="32"/>
          <w:szCs w:val="32"/>
          <w:lang w:eastAsia="zh-CN"/>
        </w:rPr>
        <w:t>（一）场地功能分区：</w:t>
      </w:r>
      <w:r>
        <w:rPr>
          <w:rFonts w:hint="eastAsia" w:ascii="仿宋_GB2312" w:hAnsi="仿宋_GB2312" w:eastAsia="仿宋_GB2312" w:cs="仿宋_GB2312"/>
          <w:snapToGrid/>
          <w:color w:val="1F2329"/>
          <w:sz w:val="32"/>
          <w:szCs w:val="32"/>
          <w:lang w:eastAsia="zh-CN"/>
        </w:rPr>
        <w:t>竞赛场地划分为比赛区域、试飞区域、检录区域、维修调试区域、裁判区域、观众区域六大功能区，各区域均采用隔离带全封闭安全隔离，严禁无关人员跨区流动。具体规格如下：</w:t>
      </w:r>
    </w:p>
    <w:p w14:paraId="07120A7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比赛区域：长</w:t>
      </w:r>
      <w:r>
        <w:rPr>
          <w:rFonts w:ascii="仿宋_GB2312" w:hAnsi="仿宋_GB2312" w:eastAsia="仿宋_GB2312" w:cs="仿宋_GB2312"/>
          <w:snapToGrid/>
          <w:color w:val="1F2329"/>
          <w:sz w:val="32"/>
          <w:szCs w:val="32"/>
          <w:lang w:eastAsia="zh-CN"/>
        </w:rPr>
        <w:t>28</w:t>
      </w:r>
      <w:r>
        <w:rPr>
          <w:rFonts w:hint="eastAsia" w:ascii="仿宋_GB2312" w:hAnsi="仿宋_GB2312" w:eastAsia="仿宋_GB2312" w:cs="仿宋_GB2312"/>
          <w:snapToGrid/>
          <w:color w:val="1F2329"/>
          <w:sz w:val="32"/>
          <w:szCs w:val="32"/>
          <w:lang w:eastAsia="zh-CN"/>
        </w:rPr>
        <w:t>m×宽</w:t>
      </w:r>
      <w:r>
        <w:rPr>
          <w:rFonts w:ascii="仿宋_GB2312" w:hAnsi="仿宋_GB2312" w:eastAsia="仿宋_GB2312" w:cs="仿宋_GB2312"/>
          <w:snapToGrid/>
          <w:color w:val="1F2329"/>
          <w:sz w:val="32"/>
          <w:szCs w:val="32"/>
          <w:lang w:eastAsia="zh-CN"/>
        </w:rPr>
        <w:t>15</w:t>
      </w:r>
      <w:r>
        <w:rPr>
          <w:rFonts w:hint="eastAsia" w:ascii="仿宋_GB2312" w:hAnsi="仿宋_GB2312" w:eastAsia="仿宋_GB2312" w:cs="仿宋_GB2312"/>
          <w:snapToGrid/>
          <w:color w:val="1F2329"/>
          <w:sz w:val="32"/>
          <w:szCs w:val="32"/>
          <w:lang w:eastAsia="zh-CN"/>
        </w:rPr>
        <w:t>m×高4m；</w:t>
      </w:r>
    </w:p>
    <w:p w14:paraId="6829242D">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rPr>
          <w:rFonts w:ascii="仿宋_GB2312" w:hAnsi="仿宋_GB2312" w:eastAsia="仿宋_GB2312" w:cs="仿宋_GB2312"/>
          <w:snapToGrid/>
          <w:color w:val="1F2329"/>
          <w:sz w:val="32"/>
          <w:szCs w:val="32"/>
          <w:lang w:eastAsia="zh-CN"/>
        </w:rPr>
      </w:pPr>
      <w:r>
        <w:rPr>
          <w:rFonts w:hint="eastAsia" w:ascii="楷体" w:hAnsi="楷体" w:eastAsia="楷体" w:cs="楷体"/>
          <w:sz w:val="32"/>
          <w:szCs w:val="32"/>
          <w:lang w:eastAsia="zh-CN"/>
        </w:rPr>
        <w:t>（二）赛道规格标准：</w:t>
      </w:r>
    </w:p>
    <w:p w14:paraId="3D9ECE4D">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设置8—12个复杂障碍（含折叠屏风、定点识别物、气球碰撞等），包含直道、弯道、连续障碍段；</w:t>
      </w:r>
    </w:p>
    <w:p w14:paraId="4901D223">
      <w:pPr>
        <w:overflowPunct w:val="0"/>
        <w:jc w:val="center"/>
        <w:rPr>
          <w:rFonts w:hint="eastAsia" w:ascii="仿宋" w:hAnsi="仿宋" w:eastAsia="仿宋" w:cs="仿宋"/>
          <w:sz w:val="32"/>
          <w:szCs w:val="32"/>
          <w:lang w:eastAsia="zh-CN"/>
        </w:rPr>
      </w:pPr>
      <w:r>
        <w:rPr>
          <w:rFonts w:hint="eastAsia" w:ascii="仿宋" w:hAnsi="仿宋" w:eastAsia="仿宋" w:cs="仿宋"/>
          <w:snapToGrid/>
          <w:sz w:val="32"/>
          <w:szCs w:val="32"/>
          <w:lang w:eastAsia="zh-CN"/>
        </w:rPr>
        <w:drawing>
          <wp:inline distT="0" distB="0" distL="114300" distR="114300">
            <wp:extent cx="5485765" cy="2482850"/>
            <wp:effectExtent l="0" t="0" r="635" b="1270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a:stretch>
                      <a:fillRect/>
                    </a:stretch>
                  </pic:blipFill>
                  <pic:spPr>
                    <a:xfrm>
                      <a:off x="0" y="0"/>
                      <a:ext cx="5485765" cy="2482850"/>
                    </a:xfrm>
                    <a:prstGeom prst="rect">
                      <a:avLst/>
                    </a:prstGeom>
                    <a:noFill/>
                    <a:ln>
                      <a:noFill/>
                    </a:ln>
                  </pic:spPr>
                </pic:pic>
              </a:graphicData>
            </a:graphic>
          </wp:inline>
        </w:drawing>
      </w:r>
    </w:p>
    <w:p w14:paraId="032B9A98">
      <w:pPr>
        <w:overflowPunct w:val="0"/>
        <w:spacing w:line="560" w:lineRule="exact"/>
        <w:ind w:firstLine="1920" w:firstLineChars="600"/>
        <w:rPr>
          <w:rFonts w:ascii="仿宋" w:hAnsi="仿宋" w:eastAsia="仿宋" w:cs="仿宋"/>
          <w:sz w:val="32"/>
          <w:szCs w:val="32"/>
          <w:lang w:eastAsia="zh-CN"/>
        </w:rPr>
      </w:pPr>
      <w:r>
        <w:rPr>
          <w:rFonts w:hint="eastAsia" w:ascii="仿宋" w:hAnsi="仿宋" w:eastAsia="仿宋" w:cs="仿宋"/>
          <w:sz w:val="32"/>
          <w:szCs w:val="32"/>
          <w:lang w:eastAsia="zh-CN"/>
        </w:rPr>
        <w:t>图1 多轴无人机竞速场地示意图</w:t>
      </w:r>
    </w:p>
    <w:p w14:paraId="17B04EEE">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黑体" w:hAnsi="黑体" w:eastAsia="黑体" w:cs="黑体"/>
          <w:snapToGrid/>
          <w:color w:val="1F2329"/>
          <w:sz w:val="32"/>
          <w:szCs w:val="32"/>
          <w:lang w:eastAsia="zh-CN"/>
        </w:rPr>
      </w:pPr>
      <w:r>
        <w:rPr>
          <w:rFonts w:hint="eastAsia" w:ascii="黑体" w:hAnsi="黑体" w:eastAsia="黑体" w:cs="黑体"/>
          <w:snapToGrid/>
          <w:color w:val="1F2329"/>
          <w:sz w:val="32"/>
          <w:szCs w:val="32"/>
          <w:lang w:eastAsia="zh-CN"/>
        </w:rPr>
        <w:t>四、竞赛规则</w:t>
      </w:r>
    </w:p>
    <w:p w14:paraId="66D445AA">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楷体_GB2312" w:hAnsi="楷体_GB2312" w:eastAsia="楷体_GB2312" w:cs="楷体_GB2312"/>
          <w:snapToGrid/>
          <w:color w:val="1F2329"/>
          <w:sz w:val="32"/>
          <w:szCs w:val="32"/>
          <w:lang w:eastAsia="zh-CN"/>
        </w:rPr>
      </w:pPr>
      <w:r>
        <w:rPr>
          <w:rFonts w:hint="eastAsia" w:ascii="楷体_GB2312" w:hAnsi="楷体_GB2312" w:eastAsia="楷体_GB2312" w:cs="楷体_GB2312"/>
          <w:snapToGrid/>
          <w:color w:val="1F2329"/>
          <w:sz w:val="32"/>
          <w:szCs w:val="32"/>
          <w:lang w:eastAsia="zh-CN"/>
        </w:rPr>
        <w:t>（一）检录与赛前准备</w:t>
      </w:r>
    </w:p>
    <w:p w14:paraId="08C68080">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1.比赛开始前</w:t>
      </w:r>
      <w:r>
        <w:rPr>
          <w:rFonts w:ascii="仿宋_GB2312" w:hAnsi="仿宋_GB2312" w:eastAsia="仿宋_GB2312" w:cs="仿宋_GB2312"/>
          <w:snapToGrid/>
          <w:color w:val="1F2329"/>
          <w:sz w:val="32"/>
          <w:szCs w:val="32"/>
          <w:lang w:eastAsia="zh-CN"/>
        </w:rPr>
        <w:t>3</w:t>
      </w:r>
      <w:r>
        <w:rPr>
          <w:rFonts w:hint="eastAsia" w:ascii="仿宋_GB2312" w:hAnsi="仿宋_GB2312" w:eastAsia="仿宋_GB2312" w:cs="仿宋_GB2312"/>
          <w:snapToGrid/>
          <w:color w:val="1F2329"/>
          <w:sz w:val="32"/>
          <w:szCs w:val="32"/>
          <w:lang w:eastAsia="zh-CN"/>
        </w:rPr>
        <w:t>0分钟，各参赛队伍到检录处签到，抽取比赛顺序及定点识别物编号，将参赛无人机、遥控器统一上交检录，领取号码牌，按工作人员指引将设备放入指定存放区域；</w:t>
      </w:r>
    </w:p>
    <w:p w14:paraId="4A597C2F">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2.赛前预留20分钟专属试飞调试时间，选手可完成设备对码硬件维修及参数等准备工作，试飞区选手不得干扰正常竞赛秩序。</w:t>
      </w:r>
    </w:p>
    <w:p w14:paraId="253B93A9">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napToGrid/>
          <w:color w:val="1F2329"/>
          <w:sz w:val="32"/>
          <w:szCs w:val="32"/>
          <w:lang w:eastAsia="zh-CN"/>
        </w:rPr>
        <w:t>3.参赛选手</w:t>
      </w:r>
      <w:r>
        <w:rPr>
          <w:rFonts w:hint="eastAsia" w:ascii="仿宋" w:hAnsi="仿宋" w:eastAsia="仿宋"/>
          <w:sz w:val="32"/>
          <w:szCs w:val="32"/>
          <w:lang w:eastAsia="zh-CN"/>
        </w:rPr>
        <w:t>在候考区等待，获得现场主裁判指令后进入起飞区准备，准备完成后报告裁判，待裁判同意后进入操作区（尺寸 0.8×0.8m，可在该区域内自由转动，但不能离开）。</w:t>
      </w:r>
      <w:r>
        <w:rPr>
          <w:rFonts w:ascii="Times New Roman" w:hAnsi="Times New Roman" w:eastAsia="仿宋" w:cs="Times New Roman"/>
          <w:sz w:val="32"/>
          <w:szCs w:val="32"/>
          <w:lang w:eastAsia="zh-CN"/>
        </w:rPr>
        <w:t>从下达指令开始进行计时，</w:t>
      </w:r>
      <w:r>
        <w:rPr>
          <w:rFonts w:hint="eastAsia" w:ascii="Times New Roman" w:hAnsi="Times New Roman" w:eastAsia="仿宋" w:cs="Times New Roman"/>
          <w:sz w:val="32"/>
          <w:szCs w:val="32"/>
          <w:lang w:eastAsia="zh-CN"/>
        </w:rPr>
        <w:t>经低空飞行（含精准</w:t>
      </w:r>
      <w:r>
        <w:rPr>
          <w:rFonts w:hint="eastAsia" w:ascii="仿宋_GB2312" w:hAnsi="仿宋_GB2312" w:eastAsia="仿宋_GB2312" w:cs="仿宋_GB2312"/>
          <w:sz w:val="32"/>
          <w:szCs w:val="32"/>
          <w:lang w:eastAsia="zh-CN"/>
        </w:rPr>
        <w:t>穿越）、悬停拍摄、绕桩飞行，以无人机降落在降落点（起飞点及降落点H为直径40厘米的圆）内为停表时间。</w:t>
      </w:r>
    </w:p>
    <w:p w14:paraId="3C1EE2E2">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楷体_GB2312" w:hAnsi="楷体_GB2312" w:eastAsia="楷体_GB2312" w:cs="楷体_GB2312"/>
          <w:snapToGrid/>
          <w:color w:val="1F2329"/>
          <w:sz w:val="32"/>
          <w:szCs w:val="32"/>
          <w:lang w:eastAsia="zh-CN"/>
        </w:rPr>
      </w:pPr>
      <w:r>
        <w:rPr>
          <w:rFonts w:hint="eastAsia" w:ascii="楷体_GB2312" w:hAnsi="楷体_GB2312" w:eastAsia="楷体_GB2312" w:cs="楷体_GB2312"/>
          <w:snapToGrid/>
          <w:color w:val="1F2329"/>
          <w:sz w:val="32"/>
          <w:szCs w:val="32"/>
          <w:lang w:eastAsia="zh-CN"/>
        </w:rPr>
        <w:t xml:space="preserve">（二）飞行规则： </w:t>
      </w:r>
    </w:p>
    <w:p w14:paraId="119E7902">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 xml:space="preserve">飞行过程中须完成指定识别物拍摄、避障演示等任务，完成任务不额外加分，未完成任务在总用时上加罚20秒。                      </w:t>
      </w:r>
    </w:p>
    <w:p w14:paraId="788ECD7A">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黑体" w:hAnsi="黑体" w:eastAsia="黑体" w:cs="黑体"/>
          <w:sz w:val="32"/>
          <w:szCs w:val="32"/>
          <w:lang w:eastAsia="zh-CN"/>
        </w:rPr>
        <w:t>五、成绩</w:t>
      </w:r>
      <w:r>
        <w:rPr>
          <w:rFonts w:hint="eastAsia" w:ascii="黑体" w:hAnsi="黑体" w:eastAsia="黑体" w:cs="黑体"/>
          <w:snapToGrid/>
          <w:color w:val="1F2329"/>
          <w:sz w:val="32"/>
          <w:szCs w:val="32"/>
          <w:lang w:eastAsia="zh-CN"/>
        </w:rPr>
        <w:t>计算</w:t>
      </w:r>
      <w:r>
        <w:rPr>
          <w:rFonts w:hint="eastAsia" w:ascii="仿宋_GB2312" w:hAnsi="仿宋_GB2312" w:eastAsia="仿宋_GB2312" w:cs="仿宋_GB2312"/>
          <w:snapToGrid/>
          <w:color w:val="1F2329"/>
          <w:sz w:val="32"/>
          <w:szCs w:val="32"/>
          <w:lang w:eastAsia="zh-CN"/>
        </w:rPr>
        <w:t xml:space="preserve">  </w:t>
      </w:r>
    </w:p>
    <w:p w14:paraId="7C787DD6">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楷体_GB2312" w:hAnsi="楷体_GB2312" w:eastAsia="楷体_GB2312" w:cs="楷体_GB2312"/>
          <w:snapToGrid/>
          <w:color w:val="1F2329"/>
          <w:sz w:val="32"/>
          <w:szCs w:val="32"/>
          <w:lang w:eastAsia="zh-CN"/>
        </w:rPr>
      </w:pPr>
      <w:r>
        <w:rPr>
          <w:rFonts w:hint="eastAsia" w:ascii="楷体_GB2312" w:hAnsi="楷体_GB2312" w:eastAsia="楷体_GB2312" w:cs="楷体_GB2312"/>
          <w:snapToGrid/>
          <w:color w:val="1F2329"/>
          <w:sz w:val="32"/>
          <w:szCs w:val="32"/>
          <w:lang w:eastAsia="zh-CN"/>
        </w:rPr>
        <w:t>（一）计时规则</w:t>
      </w:r>
    </w:p>
    <w:p w14:paraId="407BB4AE">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采用按压起飞平台计时器，计时起点为无人机起飞离开起飞平台瞬间，计时终点为无人机完成全程赛道飞行、平稳降落回起飞平台瞬间；飞行过程中无人机坠机，计时不暂停，选手可重新调整无人机至起飞平台后继续竞赛，中途偏离赛道、触碰障碍等违规行为，按对应规则加时。</w:t>
      </w:r>
    </w:p>
    <w:p w14:paraId="40A041A0">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楷体_GB2312" w:hAnsi="楷体_GB2312" w:eastAsia="楷体_GB2312" w:cs="楷体_GB2312"/>
          <w:snapToGrid/>
          <w:color w:val="1F2329"/>
          <w:sz w:val="32"/>
          <w:szCs w:val="32"/>
          <w:lang w:eastAsia="zh-CN"/>
        </w:rPr>
      </w:pPr>
      <w:r>
        <w:rPr>
          <w:rFonts w:hint="eastAsia" w:ascii="楷体_GB2312" w:hAnsi="楷体_GB2312" w:eastAsia="楷体_GB2312" w:cs="楷体_GB2312"/>
          <w:snapToGrid/>
          <w:color w:val="1F2329"/>
          <w:sz w:val="32"/>
          <w:szCs w:val="32"/>
          <w:lang w:eastAsia="zh-CN"/>
        </w:rPr>
        <w:t xml:space="preserve">（二）评分细则 </w:t>
      </w:r>
    </w:p>
    <w:p w14:paraId="05723C8C">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Times New Roman" w:hAnsi="Times New Roman" w:eastAsia="仿宋"/>
          <w:sz w:val="32"/>
          <w:szCs w:val="32"/>
          <w:lang w:eastAsia="zh-CN"/>
        </w:rPr>
      </w:pPr>
      <w:r>
        <w:rPr>
          <w:rFonts w:hint="eastAsia" w:ascii="Times New Roman" w:hAnsi="Times New Roman" w:eastAsia="仿宋" w:cs="Times New Roman"/>
          <w:sz w:val="32"/>
          <w:szCs w:val="32"/>
          <w:lang w:eastAsia="zh-CN"/>
        </w:rPr>
        <w:t>每位参赛选手可飞行两圈，取最短时间为最终成绩。</w:t>
      </w:r>
    </w:p>
    <w:p w14:paraId="235E7A30">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Times New Roman" w:hAnsi="Times New Roman" w:eastAsia="仿宋" w:cs="Times New Roman"/>
          <w:bCs/>
          <w:sz w:val="32"/>
          <w:szCs w:val="32"/>
          <w:lang w:eastAsia="zh-CN"/>
        </w:rPr>
      </w:pPr>
      <w:r>
        <w:rPr>
          <w:rFonts w:hint="eastAsia" w:ascii="Times New Roman" w:hAnsi="Times New Roman" w:eastAsia="仿宋" w:cs="Times New Roman"/>
          <w:bCs/>
          <w:sz w:val="32"/>
          <w:szCs w:val="32"/>
          <w:lang w:eastAsia="zh-CN"/>
        </w:rPr>
        <w:t>1.无人机航前检查：</w:t>
      </w:r>
    </w:p>
    <w:p w14:paraId="5AD29BAB">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（1）未进行飞行前机体外观检查，加时1秒；</w:t>
      </w:r>
    </w:p>
    <w:p w14:paraId="4EDE75CF">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（2）未正确进行飞行器遥控器和机体连接，加时1秒；</w:t>
      </w:r>
    </w:p>
    <w:p w14:paraId="5BD9E8A7">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（3）未向裁判报告准备完成申请起飞，加时1秒；</w:t>
      </w:r>
    </w:p>
    <w:p w14:paraId="25983A78">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（4）未向主裁判申请进入指定操作区（功能自检完成后），加时2秒。</w:t>
      </w:r>
    </w:p>
    <w:p w14:paraId="009D9D4A">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Times New Roman" w:hAnsi="Times New Roman" w:eastAsia="仿宋" w:cs="Times New Roman"/>
          <w:bCs/>
          <w:sz w:val="32"/>
          <w:szCs w:val="32"/>
          <w:lang w:eastAsia="zh-CN"/>
        </w:rPr>
      </w:pPr>
      <w:r>
        <w:rPr>
          <w:rFonts w:hint="eastAsia" w:ascii="Times New Roman" w:hAnsi="Times New Roman" w:eastAsia="仿宋" w:cs="Times New Roman"/>
          <w:bCs/>
          <w:sz w:val="32"/>
          <w:szCs w:val="32"/>
          <w:lang w:eastAsia="zh-CN"/>
        </w:rPr>
        <w:t>2.低空飞行（含精准穿越）：</w:t>
      </w:r>
    </w:p>
    <w:p w14:paraId="351866AE">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Times New Roman" w:hAnsi="Times New Roman" w:eastAsia="仿宋" w:cs="Times New Roman"/>
          <w:b/>
          <w:bCs/>
          <w:sz w:val="32"/>
          <w:szCs w:val="32"/>
          <w:lang w:eastAsia="zh-CN"/>
        </w:rPr>
      </w:pPr>
      <w:r>
        <w:rPr>
          <w:rFonts w:hint="eastAsia" w:ascii="仿宋" w:hAnsi="仿宋" w:eastAsia="仿宋" w:cs="仿宋"/>
          <w:sz w:val="32"/>
          <w:szCs w:val="32"/>
          <w:lang w:eastAsia="zh-CN"/>
        </w:rPr>
        <w:t>（1）竞赛无人机触碰障碍物，每触碰一次加时10秒（举黄旗示意）；</w:t>
      </w:r>
    </w:p>
    <w:p w14:paraId="667E5451">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（2）竞赛无人机触碰</w:t>
      </w:r>
      <w:r>
        <w:rPr>
          <w:rFonts w:hint="eastAsia" w:ascii="仿宋" w:hAnsi="仿宋" w:eastAsia="仿宋" w:cs="仿宋"/>
          <w:sz w:val="32"/>
          <w:szCs w:val="32"/>
          <w:lang w:val="en-US" w:eastAsia="zh-CN"/>
        </w:rPr>
        <w:t>到</w:t>
      </w:r>
      <w:r>
        <w:rPr>
          <w:rFonts w:hint="eastAsia" w:ascii="仿宋" w:hAnsi="仿宋" w:eastAsia="仿宋" w:cs="仿宋"/>
          <w:sz w:val="32"/>
          <w:szCs w:val="32"/>
          <w:lang w:eastAsia="zh-CN"/>
        </w:rPr>
        <w:t>地面，每触碰一次加30秒（举红旗示意）；</w:t>
      </w:r>
    </w:p>
    <w:p w14:paraId="12F405D7">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（3）竞赛未按照规定路线飞行，返回至该区域起点复飞（红旗常举）；</w:t>
      </w:r>
    </w:p>
    <w:p w14:paraId="1BE02DD1">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（4）竞赛无人机碰撞坠机，需从碰杆的前一根桩起飞继续飞行，计时不停，加10秒（举黄旗示意）；</w:t>
      </w:r>
    </w:p>
    <w:p w14:paraId="53227370">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3.悬停拍摄：</w:t>
      </w:r>
    </w:p>
    <w:p w14:paraId="0626A6CD">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（1）未在指定区域进行拍摄，更换目标物内容后再次垂直</w:t>
      </w:r>
    </w:p>
    <w:p w14:paraId="041ABA04">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上升回到指定区域复拍（红旗常举）；</w:t>
      </w:r>
    </w:p>
    <w:p w14:paraId="1B04135E">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（2）拍摄到的目标物需在照片中清晰可见；</w:t>
      </w:r>
    </w:p>
    <w:p w14:paraId="2232095B">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（3）作答识别内容不正确，每错误一处增加30秒。</w:t>
      </w:r>
    </w:p>
    <w:p w14:paraId="6B46DBFD">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ascii="仿宋" w:hAnsi="仿宋" w:eastAsia="仿宋" w:cs="仿宋"/>
          <w:sz w:val="32"/>
          <w:szCs w:val="32"/>
          <w:lang w:eastAsia="zh-CN"/>
        </w:rPr>
        <w:t>4</w:t>
      </w:r>
      <w:r>
        <w:rPr>
          <w:rFonts w:hint="eastAsia" w:ascii="仿宋" w:hAnsi="仿宋" w:eastAsia="仿宋" w:cs="仿宋"/>
          <w:sz w:val="32"/>
          <w:szCs w:val="32"/>
          <w:lang w:eastAsia="zh-CN"/>
        </w:rPr>
        <w:t>.绕桩飞行：</w:t>
      </w:r>
    </w:p>
    <w:p w14:paraId="15CCC54C">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（1）竞赛无人机触碰点位桩，每触碰一次加时10秒（举黄旗示意）；</w:t>
      </w:r>
      <w:r>
        <w:rPr>
          <w:rFonts w:ascii="仿宋" w:hAnsi="仿宋" w:eastAsia="仿宋" w:cs="仿宋"/>
          <w:sz w:val="32"/>
          <w:szCs w:val="32"/>
          <w:lang w:eastAsia="zh-CN"/>
        </w:rPr>
        <w:t xml:space="preserve"> </w:t>
      </w:r>
    </w:p>
    <w:p w14:paraId="6A6108F9">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（2）竞赛无人机掠过点位桩，每掠过一处加时30秒（举红旗示意）；</w:t>
      </w:r>
      <w:r>
        <w:rPr>
          <w:rFonts w:ascii="仿宋" w:hAnsi="仿宋" w:eastAsia="仿宋" w:cs="仿宋"/>
          <w:sz w:val="32"/>
          <w:szCs w:val="32"/>
          <w:lang w:eastAsia="zh-CN"/>
        </w:rPr>
        <w:t xml:space="preserve"> </w:t>
      </w:r>
    </w:p>
    <w:p w14:paraId="77D9255C">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（3）竞赛无人机碰撞坠机，需从碰杆的前一根桩起飞继续飞行，计时不停，且加10秒。</w:t>
      </w:r>
    </w:p>
    <w:p w14:paraId="4468AEF2">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5.定点降落：</w:t>
      </w:r>
    </w:p>
    <w:p w14:paraId="7CB66674">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（1）竞赛无人机降落压线，加时10秒；</w:t>
      </w:r>
    </w:p>
    <w:p w14:paraId="5388D360">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 w:hAnsi="仿宋" w:eastAsia="仿宋" w:cs="仿宋"/>
          <w:sz w:val="32"/>
          <w:szCs w:val="32"/>
          <w:lang w:eastAsia="zh-CN"/>
        </w:rPr>
      </w:pPr>
      <w:r>
        <w:rPr>
          <w:rFonts w:hint="eastAsia" w:ascii="仿宋" w:hAnsi="仿宋" w:eastAsia="仿宋" w:cs="仿宋"/>
          <w:sz w:val="32"/>
          <w:szCs w:val="32"/>
          <w:lang w:eastAsia="zh-CN"/>
        </w:rPr>
        <w:t>（2）竞赛无人机在降落区外落地，加时10秒，并重新降落，计时不中断。</w:t>
      </w:r>
    </w:p>
    <w:p w14:paraId="785C9146">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（3）竞赛出现危险飞行行为，裁判有权终止竞赛，竞赛项目得分为零。</w:t>
      </w:r>
    </w:p>
    <w:p w14:paraId="49A9F65C">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ascii="仿宋_GB2312" w:hAnsi="仿宋_GB2312" w:eastAsia="仿宋_GB2312" w:cs="仿宋_GB2312"/>
          <w:snapToGrid/>
          <w:color w:val="1F2329"/>
          <w:sz w:val="32"/>
          <w:szCs w:val="32"/>
          <w:lang w:eastAsia="zh-CN"/>
        </w:rPr>
        <w:t>6.精准碰撞：</w:t>
      </w:r>
      <w:r>
        <w:rPr>
          <w:rFonts w:hint="eastAsia" w:ascii="仿宋_GB2312" w:hAnsi="仿宋_GB2312" w:eastAsia="仿宋_GB2312" w:cs="仿宋_GB2312"/>
          <w:snapToGrid/>
          <w:color w:val="1F2329"/>
          <w:sz w:val="32"/>
          <w:szCs w:val="32"/>
          <w:lang w:eastAsia="zh-CN"/>
        </w:rPr>
        <w:t>竞赛</w:t>
      </w:r>
      <w:r>
        <w:rPr>
          <w:rFonts w:ascii="仿宋_GB2312" w:hAnsi="仿宋_GB2312" w:eastAsia="仿宋_GB2312" w:cs="仿宋_GB2312"/>
          <w:snapToGrid/>
          <w:color w:val="1F2329"/>
          <w:sz w:val="32"/>
          <w:szCs w:val="32"/>
          <w:lang w:eastAsia="zh-CN"/>
        </w:rPr>
        <w:t>无人机未精准碰撞到</w:t>
      </w:r>
      <w:r>
        <w:rPr>
          <w:rFonts w:hint="eastAsia" w:ascii="仿宋_GB2312" w:hAnsi="仿宋_GB2312" w:eastAsia="仿宋_GB2312" w:cs="仿宋_GB2312"/>
          <w:snapToGrid/>
          <w:color w:val="1F2329"/>
          <w:sz w:val="32"/>
          <w:szCs w:val="32"/>
          <w:lang w:eastAsia="zh-CN"/>
        </w:rPr>
        <w:t>目标物（</w:t>
      </w:r>
      <w:r>
        <w:rPr>
          <w:rFonts w:hint="eastAsia" w:ascii="仿宋_GB2312" w:hAnsi="仿宋_GB2312" w:eastAsia="仿宋_GB2312" w:cs="仿宋_GB2312"/>
          <w:snapToGrid/>
          <w:color w:val="1F2329"/>
          <w:sz w:val="32"/>
          <w:szCs w:val="32"/>
          <w:lang w:val="en-US" w:eastAsia="zh-CN"/>
        </w:rPr>
        <w:t>气</w:t>
      </w:r>
      <w:r>
        <w:rPr>
          <w:rFonts w:ascii="仿宋_GB2312" w:hAnsi="仿宋_GB2312" w:eastAsia="仿宋_GB2312" w:cs="仿宋_GB2312"/>
          <w:snapToGrid/>
          <w:color w:val="1F2329"/>
          <w:sz w:val="32"/>
          <w:szCs w:val="32"/>
          <w:lang w:eastAsia="zh-CN"/>
        </w:rPr>
        <w:t>球</w:t>
      </w:r>
      <w:r>
        <w:rPr>
          <w:rFonts w:hint="eastAsia" w:ascii="仿宋_GB2312" w:hAnsi="仿宋_GB2312" w:eastAsia="仿宋_GB2312" w:cs="仿宋_GB2312"/>
          <w:snapToGrid/>
          <w:color w:val="1F2329"/>
          <w:sz w:val="32"/>
          <w:szCs w:val="32"/>
          <w:lang w:eastAsia="zh-CN"/>
        </w:rPr>
        <w:t>）</w:t>
      </w:r>
      <w:r>
        <w:rPr>
          <w:rFonts w:ascii="仿宋_GB2312" w:hAnsi="仿宋_GB2312" w:eastAsia="仿宋_GB2312" w:cs="仿宋_GB2312"/>
          <w:snapToGrid/>
          <w:color w:val="1F2329"/>
          <w:sz w:val="32"/>
          <w:szCs w:val="32"/>
          <w:lang w:eastAsia="zh-CN"/>
        </w:rPr>
        <w:t>，每个加时10</w:t>
      </w:r>
      <w:r>
        <w:rPr>
          <w:rFonts w:hint="eastAsia" w:ascii="仿宋_GB2312" w:hAnsi="仿宋_GB2312" w:eastAsia="仿宋_GB2312" w:cs="仿宋_GB2312"/>
          <w:snapToGrid/>
          <w:color w:val="1F2329"/>
          <w:sz w:val="32"/>
          <w:szCs w:val="32"/>
          <w:lang w:eastAsia="zh-CN"/>
        </w:rPr>
        <w:t>秒。</w:t>
      </w:r>
    </w:p>
    <w:p w14:paraId="0A428501">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备注：图例中的</w:t>
      </w:r>
      <w:r>
        <w:rPr>
          <w:rFonts w:ascii="仿宋_GB2312" w:hAnsi="仿宋_GB2312" w:eastAsia="仿宋_GB2312" w:cs="仿宋_GB2312"/>
          <w:snapToGrid/>
          <w:color w:val="1F2329"/>
          <w:sz w:val="32"/>
          <w:szCs w:val="32"/>
          <w:lang w:eastAsia="zh-CN"/>
        </w:rPr>
        <w:t>“</w:t>
      </w:r>
      <w:r>
        <w:rPr>
          <w:rFonts w:hint="eastAsia" w:ascii="仿宋_GB2312" w:hAnsi="仿宋_GB2312" w:eastAsia="仿宋_GB2312" w:cs="仿宋_GB2312"/>
          <w:snapToGrid/>
          <w:color w:val="1F2329"/>
          <w:sz w:val="32"/>
          <w:szCs w:val="32"/>
          <w:lang w:eastAsia="zh-CN"/>
        </w:rPr>
        <w:t>定点拍摄点</w:t>
      </w:r>
      <w:r>
        <w:rPr>
          <w:rFonts w:ascii="仿宋_GB2312" w:hAnsi="仿宋_GB2312" w:eastAsia="仿宋_GB2312" w:cs="仿宋_GB2312"/>
          <w:snapToGrid/>
          <w:color w:val="1F2329"/>
          <w:sz w:val="32"/>
          <w:szCs w:val="32"/>
          <w:lang w:eastAsia="zh-CN"/>
        </w:rPr>
        <w:t>”</w:t>
      </w:r>
      <w:r>
        <w:rPr>
          <w:rFonts w:hint="eastAsia" w:ascii="仿宋_GB2312" w:hAnsi="仿宋_GB2312" w:eastAsia="仿宋_GB2312" w:cs="仿宋_GB2312"/>
          <w:snapToGrid/>
          <w:color w:val="1F2329"/>
          <w:sz w:val="32"/>
          <w:szCs w:val="32"/>
          <w:lang w:eastAsia="zh-CN"/>
        </w:rPr>
        <w:t>是无人机悬停的位置，拍摄对象（文字或照片）需设置在对面，拍摄距离不低于</w:t>
      </w:r>
      <w:r>
        <w:rPr>
          <w:rFonts w:ascii="仿宋_GB2312" w:hAnsi="仿宋_GB2312" w:eastAsia="仿宋_GB2312" w:cs="仿宋_GB2312"/>
          <w:snapToGrid/>
          <w:color w:val="1F2329"/>
          <w:sz w:val="32"/>
          <w:szCs w:val="32"/>
          <w:lang w:eastAsia="zh-CN"/>
        </w:rPr>
        <w:t>30</w:t>
      </w:r>
      <w:r>
        <w:rPr>
          <w:rFonts w:hint="eastAsia" w:ascii="仿宋_GB2312" w:hAnsi="仿宋_GB2312" w:eastAsia="仿宋_GB2312" w:cs="仿宋_GB2312"/>
          <w:snapToGrid/>
          <w:color w:val="1F2329"/>
          <w:sz w:val="32"/>
          <w:szCs w:val="32"/>
          <w:lang w:eastAsia="zh-CN"/>
        </w:rPr>
        <w:t>米，高度不低于4米。</w:t>
      </w:r>
    </w:p>
    <w:p w14:paraId="2557BE46">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黑体" w:hAnsi="黑体" w:eastAsia="黑体" w:cs="黑体"/>
          <w:snapToGrid/>
          <w:color w:val="1F2329"/>
          <w:sz w:val="32"/>
          <w:szCs w:val="32"/>
          <w:lang w:eastAsia="zh-CN"/>
        </w:rPr>
      </w:pPr>
      <w:r>
        <w:rPr>
          <w:rFonts w:hint="eastAsia" w:ascii="黑体" w:hAnsi="黑体" w:eastAsia="黑体" w:cs="黑体"/>
          <w:snapToGrid/>
          <w:color w:val="1F2329"/>
          <w:sz w:val="32"/>
          <w:szCs w:val="32"/>
          <w:lang w:eastAsia="zh-CN"/>
        </w:rPr>
        <w:t>六、安全保障</w:t>
      </w:r>
    </w:p>
    <w:p w14:paraId="5DF12C44">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楷体" w:hAnsi="楷体" w:eastAsia="楷体" w:cs="楷体"/>
          <w:snapToGrid/>
          <w:color w:val="1F2329"/>
          <w:sz w:val="32"/>
          <w:szCs w:val="32"/>
          <w:lang w:eastAsia="zh-CN"/>
        </w:rPr>
      </w:pPr>
      <w:r>
        <w:rPr>
          <w:rFonts w:hint="eastAsia" w:ascii="楷体" w:hAnsi="楷体" w:eastAsia="楷体" w:cs="楷体"/>
          <w:snapToGrid/>
          <w:color w:val="1F2329"/>
          <w:sz w:val="32"/>
          <w:szCs w:val="32"/>
          <w:lang w:eastAsia="zh-CN"/>
        </w:rPr>
        <w:t>（一）场地安全</w:t>
      </w:r>
    </w:p>
    <w:p w14:paraId="3D22A7AB">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（1）竞赛场地设置醒目安全警示标识，明确各功能区域界限，严禁无关人员进入比赛区域、试飞区域等危险区域；</w:t>
      </w:r>
    </w:p>
    <w:p w14:paraId="044BAB0F">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hint="eastAsia"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（2）比赛区域、试飞区域全程封闭隔离，配备专职安全管理人员，实时监控场地及飞行状态，快速及</w:t>
      </w:r>
      <w:r>
        <w:rPr>
          <w:rFonts w:hint="eastAsia" w:ascii="仿宋_GB2312" w:hAnsi="仿宋_GB2312" w:eastAsia="仿宋_GB2312" w:cs="仿宋_GB2312"/>
          <w:snapToGrid/>
          <w:color w:val="1F2329"/>
          <w:sz w:val="32"/>
          <w:szCs w:val="32"/>
          <w:lang w:val="en-US" w:eastAsia="zh-CN"/>
        </w:rPr>
        <w:t>时</w:t>
      </w:r>
      <w:r>
        <w:rPr>
          <w:rFonts w:hint="eastAsia" w:ascii="仿宋_GB2312" w:hAnsi="仿宋_GB2312" w:eastAsia="仿宋_GB2312" w:cs="仿宋_GB2312"/>
          <w:snapToGrid/>
          <w:color w:val="1F2329"/>
          <w:sz w:val="32"/>
          <w:szCs w:val="32"/>
          <w:lang w:eastAsia="zh-CN"/>
        </w:rPr>
        <w:t>处置各类突发情况；</w:t>
      </w:r>
    </w:p>
    <w:p w14:paraId="748F4539">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（3）场地周边清理障碍物，确保飞行空间无遮挡、无信号干扰，远离高压线路、人群密集区域；配备专用消防器材、应急疏散通道，确保应急疏散畅通无阻。</w:t>
      </w:r>
    </w:p>
    <w:p w14:paraId="5BED325B">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楷体" w:hAnsi="楷体" w:eastAsia="楷体" w:cs="楷体"/>
          <w:sz w:val="32"/>
          <w:szCs w:val="32"/>
          <w:lang w:eastAsia="zh-CN"/>
        </w:rPr>
      </w:pPr>
      <w:r>
        <w:rPr>
          <w:rFonts w:hint="eastAsia" w:ascii="楷体" w:hAnsi="楷体" w:eastAsia="楷体" w:cs="楷体"/>
          <w:sz w:val="32"/>
          <w:szCs w:val="32"/>
          <w:lang w:eastAsia="zh-CN"/>
        </w:rPr>
        <w:t>（二）器材安全</w:t>
      </w:r>
    </w:p>
    <w:p w14:paraId="6B7458FE">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（1）赛前对所有参赛无人机及配套器材进行全面技术检录，严禁使用违规改装、存在安全隐患的器材；</w:t>
      </w:r>
    </w:p>
    <w:p w14:paraId="75057983">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（2）参赛队伍需妥善保管自身器材，严格落实充电安全防护措施，禁止在非指定区域开展设备充电、调试操作；</w:t>
      </w:r>
    </w:p>
    <w:p w14:paraId="5279D910">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（3）竞赛过程中，若出现无人机失控、坠机等突发情况，选手须立即停止操控，由工作人员及时处置，避免器材损坏及人员受伤。</w:t>
      </w:r>
    </w:p>
    <w:p w14:paraId="329497D8">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楷体" w:hAnsi="楷体" w:eastAsia="楷体" w:cs="楷体"/>
          <w:sz w:val="32"/>
          <w:szCs w:val="32"/>
          <w:lang w:eastAsia="zh-CN"/>
        </w:rPr>
      </w:pPr>
      <w:r>
        <w:rPr>
          <w:rFonts w:hint="eastAsia" w:ascii="楷体" w:hAnsi="楷体" w:eastAsia="楷体" w:cs="楷体"/>
          <w:sz w:val="32"/>
          <w:szCs w:val="32"/>
          <w:lang w:eastAsia="zh-CN"/>
        </w:rPr>
        <w:t>（三）人员安全防护要求</w:t>
      </w:r>
    </w:p>
    <w:p w14:paraId="61D56A19">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（1）所有参赛选手、指导教师、现场工作人员，必须按</w:t>
      </w:r>
      <w:r>
        <w:rPr>
          <w:rFonts w:hint="eastAsia" w:ascii="仿宋_GB2312" w:hAnsi="仿宋_GB2312" w:eastAsia="仿宋_GB2312" w:cs="仿宋_GB2312"/>
          <w:snapToGrid/>
          <w:color w:val="1F2329"/>
          <w:sz w:val="32"/>
          <w:szCs w:val="32"/>
          <w:lang w:val="en-US" w:eastAsia="zh-CN"/>
        </w:rPr>
        <w:t>照</w:t>
      </w:r>
      <w:r>
        <w:rPr>
          <w:rFonts w:hint="eastAsia" w:ascii="仿宋_GB2312" w:hAnsi="仿宋_GB2312" w:eastAsia="仿宋_GB2312" w:cs="仿宋_GB2312"/>
          <w:snapToGrid/>
          <w:color w:val="1F2329"/>
          <w:sz w:val="32"/>
          <w:szCs w:val="32"/>
          <w:lang w:eastAsia="zh-CN"/>
        </w:rPr>
        <w:t>要求佩戴对应安全防护装备，未按要求佩戴者一律不得进入竞赛场地；</w:t>
      </w:r>
    </w:p>
    <w:p w14:paraId="68E7FE28">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baseline"/>
        <w:rPr>
          <w:rFonts w:ascii="仿宋_GB2312" w:hAnsi="仿宋_GB2312" w:eastAsia="仿宋_GB2312" w:cs="仿宋_GB2312"/>
          <w:snapToGrid/>
          <w:color w:val="1F2329"/>
          <w:sz w:val="32"/>
          <w:szCs w:val="32"/>
          <w:lang w:eastAsia="zh-CN"/>
        </w:rPr>
      </w:pPr>
      <w:r>
        <w:rPr>
          <w:rFonts w:hint="eastAsia" w:ascii="仿宋_GB2312" w:hAnsi="仿宋_GB2312" w:eastAsia="仿宋_GB2312" w:cs="仿宋_GB2312"/>
          <w:snapToGrid/>
          <w:color w:val="1F2329"/>
          <w:sz w:val="32"/>
          <w:szCs w:val="32"/>
          <w:lang w:eastAsia="zh-CN"/>
        </w:rPr>
        <w:t>（</w:t>
      </w:r>
      <w:r>
        <w:rPr>
          <w:rFonts w:hint="eastAsia" w:ascii="仿宋_GB2312" w:hAnsi="仿宋_GB2312" w:eastAsia="仿宋_GB2312" w:cs="仿宋_GB2312"/>
          <w:snapToGrid/>
          <w:color w:val="1F2329"/>
          <w:sz w:val="32"/>
          <w:szCs w:val="32"/>
          <w:lang w:val="en-US" w:eastAsia="zh-CN"/>
        </w:rPr>
        <w:t>2</w:t>
      </w:r>
      <w:r>
        <w:rPr>
          <w:rFonts w:hint="eastAsia" w:ascii="仿宋_GB2312" w:hAnsi="仿宋_GB2312" w:eastAsia="仿宋_GB2312" w:cs="仿宋_GB2312"/>
          <w:snapToGrid/>
          <w:color w:val="1F2329"/>
          <w:sz w:val="32"/>
          <w:szCs w:val="32"/>
          <w:lang w:eastAsia="zh-CN"/>
        </w:rPr>
        <w:t>）赛前组织开展专项安全培训，讲解飞行安全规范、应急处置流程，提升参赛人员及工作人员安全意识和应急处置能力；</w:t>
      </w:r>
    </w:p>
    <w:p w14:paraId="4175B473">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baseline"/>
        <w:rPr>
          <w:rFonts w:hint="default" w:ascii="仿宋_GB2312" w:hAnsi="仿宋_GB2312" w:eastAsia="仿宋_GB2312" w:cs="仿宋_GB2312"/>
          <w:snapToGrid w:val="0"/>
          <w:color w:val="000000"/>
          <w:sz w:val="32"/>
          <w:szCs w:val="32"/>
          <w:lang w:val="en-US" w:eastAsia="zh-CN" w:bidi="ar-SA"/>
        </w:rPr>
      </w:pPr>
      <w:r>
        <w:rPr>
          <w:rFonts w:hint="eastAsia" w:ascii="仿宋_GB2312" w:hAnsi="仿宋_GB2312" w:eastAsia="仿宋_GB2312" w:cs="仿宋_GB2312"/>
          <w:snapToGrid/>
          <w:color w:val="1F2329"/>
          <w:sz w:val="32"/>
          <w:szCs w:val="32"/>
          <w:lang w:eastAsia="zh-CN"/>
        </w:rPr>
        <w:t>（</w:t>
      </w:r>
      <w:r>
        <w:rPr>
          <w:rFonts w:hint="eastAsia" w:ascii="仿宋_GB2312" w:hAnsi="仿宋_GB2312" w:eastAsia="仿宋_GB2312" w:cs="仿宋_GB2312"/>
          <w:snapToGrid/>
          <w:color w:val="1F2329"/>
          <w:sz w:val="32"/>
          <w:szCs w:val="32"/>
          <w:lang w:val="en-US" w:eastAsia="zh-CN"/>
        </w:rPr>
        <w:t>3</w:t>
      </w:r>
      <w:r>
        <w:rPr>
          <w:rFonts w:hint="eastAsia" w:ascii="仿宋_GB2312" w:hAnsi="仿宋_GB2312" w:eastAsia="仿宋_GB2312" w:cs="仿宋_GB2312"/>
          <w:snapToGrid/>
          <w:color w:val="1F2329"/>
          <w:sz w:val="32"/>
          <w:szCs w:val="32"/>
          <w:lang w:eastAsia="zh-CN"/>
        </w:rPr>
        <w:t>）严格竞赛现场人员数量，观众须在指定区域观看比赛，遵守现场秩序，禁止大声喧哗、擅自进入危险区域。</w:t>
      </w:r>
    </w:p>
    <w:p w14:paraId="415A9801">
      <w:pPr>
        <w:rPr>
          <w:rFonts w:hint="eastAsia" w:ascii="仿宋_GB2312" w:hAnsi="仿宋_GB2312" w:eastAsia="仿宋_GB2312" w:cs="仿宋_GB2312"/>
          <w:spacing w:val="4"/>
          <w:position w:val="1"/>
          <w:sz w:val="32"/>
          <w:szCs w:val="32"/>
          <w:lang w:val="en-US" w:eastAsia="zh-CN"/>
        </w:rPr>
      </w:pPr>
    </w:p>
    <w:sectPr>
      <w:headerReference r:id="rId3" w:type="default"/>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28BC15F-5C08-4646-BE8B-DF511695FCBE}"/>
  </w:font>
  <w:font w:name="黑体">
    <w:panose1 w:val="02010609060101010101"/>
    <w:charset w:val="86"/>
    <w:family w:val="auto"/>
    <w:pitch w:val="default"/>
    <w:sig w:usb0="800002BF" w:usb1="38CF7CFA" w:usb2="00000016" w:usb3="00000000" w:csb0="00040001" w:csb1="00000000"/>
    <w:embedRegular r:id="rId2" w:fontKey="{ADFE7438-BF39-4C74-BF4C-B2942C591F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9AA41023-4DEA-42D7-B883-79B413E2FEE7}"/>
  </w:font>
  <w:font w:name="仿宋">
    <w:panose1 w:val="02010609060101010101"/>
    <w:charset w:val="86"/>
    <w:family w:val="auto"/>
    <w:pitch w:val="default"/>
    <w:sig w:usb0="800002BF" w:usb1="38CF7CFA" w:usb2="00000016" w:usb3="00000000" w:csb0="00040001" w:csb1="00000000"/>
    <w:embedRegular r:id="rId4" w:fontKey="{22DE5501-1AA7-44B7-A062-12DE7BDFA9F0}"/>
  </w:font>
  <w:font w:name="方正小标宋简体">
    <w:panose1 w:val="02000000000000000000"/>
    <w:charset w:val="86"/>
    <w:family w:val="auto"/>
    <w:pitch w:val="default"/>
    <w:sig w:usb0="00000001" w:usb1="080E0000" w:usb2="00000000" w:usb3="00000000" w:csb0="00040000" w:csb1="00000000"/>
    <w:embedRegular r:id="rId5" w:fontKey="{066BC391-5D85-42BD-BEA2-B9804EAB1039}"/>
  </w:font>
  <w:font w:name="方正仿宋_GB2312">
    <w:panose1 w:val="02000000000000000000"/>
    <w:charset w:val="86"/>
    <w:family w:val="auto"/>
    <w:pitch w:val="default"/>
    <w:sig w:usb0="A00002BF" w:usb1="184F6CFA" w:usb2="00000012" w:usb3="00000000" w:csb0="00040001" w:csb1="00000000"/>
    <w:embedRegular r:id="rId6" w:fontKey="{5FA1EAFA-C289-4236-A7AF-985C26C9B7A1}"/>
  </w:font>
  <w:font w:name="仿宋_GB2312">
    <w:panose1 w:val="02010609030101010101"/>
    <w:charset w:val="86"/>
    <w:family w:val="auto"/>
    <w:pitch w:val="default"/>
    <w:sig w:usb0="00000001" w:usb1="080E0000" w:usb2="00000000" w:usb3="00000000" w:csb0="00040000" w:csb1="00000000"/>
    <w:embedRegular r:id="rId7" w:fontKey="{ED65B2AE-BED0-4D7A-9BC5-02C547B9222A}"/>
  </w:font>
  <w:font w:name="楷体">
    <w:panose1 w:val="02010609060101010101"/>
    <w:charset w:val="86"/>
    <w:family w:val="auto"/>
    <w:pitch w:val="default"/>
    <w:sig w:usb0="800002BF" w:usb1="38CF7CFA" w:usb2="00000016" w:usb3="00000000" w:csb0="00040001" w:csb1="00000000"/>
    <w:embedRegular r:id="rId8" w:fontKey="{AA21FC5B-4881-44B4-A20F-1F82E8E5CBED}"/>
  </w:font>
  <w:font w:name="楷体_GB2312">
    <w:panose1 w:val="02010609030101010101"/>
    <w:charset w:val="86"/>
    <w:family w:val="modern"/>
    <w:pitch w:val="default"/>
    <w:sig w:usb0="00000001" w:usb1="080E0000" w:usb2="00000000" w:usb3="00000000" w:csb0="00040000" w:csb1="00000000"/>
    <w:embedRegular r:id="rId9" w:fontKey="{F89EBD1D-F6F4-4243-BD74-324D0428F3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8B3D6">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20380">
    <w:pPr>
      <w:widowControl w:val="0"/>
      <w:kinsoku/>
      <w:autoSpaceDE/>
      <w:autoSpaceDN/>
      <w:adjustRightInd/>
      <w:snapToGrid/>
      <w:spacing w:line="14" w:lineRule="auto"/>
      <w:jc w:val="both"/>
      <w:textAlignment w:val="auto"/>
      <w:rPr>
        <w:rFonts w:ascii="Arial" w:hAnsi="Calibri" w:eastAsia="宋体" w:cs="宋体"/>
        <w:snapToGrid/>
        <w:kern w:val="2"/>
        <w:sz w:val="2"/>
        <w:szCs w:val="24"/>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lOGQ3ZjJhMTA5ZGVhNmI4ZmQ5Mjg1OWJmYzljYTUifQ=="/>
  </w:docVars>
  <w:rsids>
    <w:rsidRoot w:val="00000000"/>
    <w:rsid w:val="060F639F"/>
    <w:rsid w:val="0A303E61"/>
    <w:rsid w:val="0E6B5169"/>
    <w:rsid w:val="10436BBC"/>
    <w:rsid w:val="120945EA"/>
    <w:rsid w:val="122335D6"/>
    <w:rsid w:val="14AA1921"/>
    <w:rsid w:val="166323C1"/>
    <w:rsid w:val="16684ED5"/>
    <w:rsid w:val="1F615973"/>
    <w:rsid w:val="27CC1EEA"/>
    <w:rsid w:val="33AE5E68"/>
    <w:rsid w:val="375E1039"/>
    <w:rsid w:val="3B8B2EC8"/>
    <w:rsid w:val="3E5F71BC"/>
    <w:rsid w:val="3E9E7614"/>
    <w:rsid w:val="431762B8"/>
    <w:rsid w:val="47EC64FB"/>
    <w:rsid w:val="4B2A1291"/>
    <w:rsid w:val="4B8D35BB"/>
    <w:rsid w:val="4D9D385D"/>
    <w:rsid w:val="5D8F5734"/>
    <w:rsid w:val="63043D0B"/>
    <w:rsid w:val="63A454EE"/>
    <w:rsid w:val="665C186F"/>
    <w:rsid w:val="6A723C50"/>
    <w:rsid w:val="6C9D2ADA"/>
    <w:rsid w:val="6EDF562C"/>
    <w:rsid w:val="703C50DF"/>
    <w:rsid w:val="719D72F9"/>
    <w:rsid w:val="71B130BF"/>
    <w:rsid w:val="73925DAE"/>
    <w:rsid w:val="76EA1012"/>
    <w:rsid w:val="78917200"/>
    <w:rsid w:val="7A8948AB"/>
    <w:rsid w:val="7B555A8E"/>
    <w:rsid w:val="7CC17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3505</Words>
  <Characters>3620</Characters>
  <Lines>0</Lines>
  <Paragraphs>0</Paragraphs>
  <TotalTime>2</TotalTime>
  <ScaleCrop>false</ScaleCrop>
  <LinksUpToDate>false</LinksUpToDate>
  <CharactersWithSpaces>3794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xfxfxf</cp:lastModifiedBy>
  <dcterms:modified xsi:type="dcterms:W3CDTF">2026-05-12T01:13:12Z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eyJoZGlkIjoiZGVjNjE1ODA3YWZjZWYyNDk5OWNjNjNiNDI1N2E2ZmYiLCJ1c2VySWQiOiIxNDYwNDg5NjAyIn0=</vt:lpwstr>
  </property>
  <property fmtid="{D5CDD505-2E9C-101B-9397-08002B2CF9AE}" pid="4" name="ICV">
    <vt:lpwstr>A4AD34073A224DB5BC2105C877160A8F_12</vt:lpwstr>
  </property>
</Properties>
</file>